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1"/>
        <w:bidi w:val="0"/>
        <w:rPr>
          <w:rFonts w:hint="eastAsia"/>
          <w:lang w:val="en-US" w:eastAsia="zh-CN"/>
        </w:rPr>
      </w:pPr>
      <w:bookmarkStart w:id="0" w:name="_Toc26282"/>
    </w:p>
    <w:p>
      <w:pPr>
        <w:pStyle w:val="a1"/>
        <w:bidi w:val="0"/>
        <w:rPr>
          <w:rFonts w:hint="default"/>
          <w:lang w:val="en-US"/>
        </w:rPr>
      </w:pPr>
      <w:r>
        <w:rPr>
          <w:rFonts w:hint="eastAsia"/>
          <w:lang w:val="en-US" w:eastAsia="zh-CN"/>
        </w:rPr>
        <w:t>服务数据管理制度</w:t>
      </w:r>
      <w:bookmarkEnd w:id="0"/>
    </w:p>
    <w:p>
      <w:pPr>
        <w:pStyle w:val="a2"/>
        <w:bidi w:val="0"/>
      </w:pPr>
      <w:bookmarkStart w:id="1" w:name="_Toc3614"/>
      <w:r>
        <w:t>中达丰集团有限公司</w:t>
      </w:r>
      <w:bookmarkEnd w:id="1"/>
    </w:p>
    <w:p>
      <w:pPr>
        <w:spacing w:before="275"/>
        <w:ind w:left="3285"/>
        <w:rPr>
          <w:rFonts w:ascii="宋体" w:eastAsia="宋体" w:hAnsi="宋体" w:cs="宋体"/>
          <w:sz w:val="36"/>
          <w:szCs w:val="36"/>
        </w:rPr>
      </w:pPr>
      <w:r>
        <w:rPr>
          <w:rFonts w:ascii="宋体" w:eastAsia="宋体" w:hAnsi="宋体" w:cs="宋体"/>
          <w:spacing w:val="-2"/>
          <w:sz w:val="36"/>
          <w:szCs w:val="36"/>
        </w:rPr>
        <w:t>202</w:t>
      </w:r>
      <w:r>
        <w:rPr>
          <w:rFonts w:ascii="宋体" w:eastAsia="宋体" w:hAnsi="宋体" w:cs="宋体" w:hint="eastAsia"/>
          <w:spacing w:val="-2"/>
          <w:sz w:val="36"/>
          <w:szCs w:val="36"/>
          <w:lang w:val="en-US" w:eastAsia="zh-CN"/>
        </w:rPr>
        <w:t>5</w:t>
      </w:r>
      <w:r>
        <w:rPr>
          <w:rFonts w:ascii="宋体" w:eastAsia="宋体" w:hAnsi="宋体" w:cs="宋体"/>
          <w:spacing w:val="-2"/>
          <w:sz w:val="36"/>
          <w:szCs w:val="36"/>
        </w:rPr>
        <w:t>-01-04</w:t>
      </w:r>
    </w:p>
    <w:p>
      <w:pPr>
        <w:rPr>
          <w:rFonts w:ascii="宋体" w:eastAsia="宋体" w:hAnsi="宋体" w:cs="宋体"/>
          <w:sz w:val="36"/>
          <w:szCs w:val="36"/>
        </w:rPr>
        <w:sectPr>
          <w:pgSz w:w="11906" w:h="16839"/>
          <w:pgMar w:top="1431" w:right="1785" w:bottom="0" w:left="1785" w:header="0" w:footer="0" w:gutter="0"/>
          <w:cols w:num="1" w:space="720"/>
        </w:sectPr>
      </w:pPr>
    </w:p>
    <w:p>
      <w:pPr>
        <w:spacing w:before="69" w:line="220" w:lineRule="auto"/>
        <w:ind w:left="3954"/>
        <w:outlineLvl w:val="0"/>
        <w:rPr>
          <w:rFonts w:ascii="宋体" w:eastAsia="宋体" w:hAnsi="宋体" w:cs="宋体"/>
          <w:sz w:val="21"/>
          <w:szCs w:val="21"/>
        </w:rPr>
      </w:pPr>
      <w:bookmarkStart w:id="2" w:name="_Toc984"/>
      <w:r>
        <w:rPr>
          <w:rFonts w:ascii="宋体" w:eastAsia="宋体" w:hAnsi="宋体" w:cs="宋体"/>
          <w:spacing w:val="-2"/>
          <w:sz w:val="21"/>
          <w:szCs w:val="21"/>
        </w:rPr>
        <w:t>文档信息</w:t>
      </w:r>
      <w:bookmarkEnd w:id="2"/>
    </w:p>
    <w:p>
      <w:pPr>
        <w:spacing w:line="16" w:lineRule="exact"/>
      </w:pPr>
    </w:p>
    <w:tbl>
      <w:tblPr>
        <w:tblStyle w:val="TableNormal0"/>
        <w:tblW w:w="7937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361"/>
        <w:gridCol w:w="2014"/>
        <w:gridCol w:w="1363"/>
        <w:gridCol w:w="1709"/>
      </w:tblGrid>
      <w:tr>
        <w:tblPrEx>
          <w:tblW w:w="7937" w:type="dxa"/>
          <w:tblInd w:w="5" w:type="dxa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/>
        </w:trPr>
        <w:tc>
          <w:tcPr>
            <w:tcW w:w="1704" w:type="dxa"/>
          </w:tcPr>
          <w:p>
            <w:pPr>
              <w:pStyle w:val="TableText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>
            <w:pPr>
              <w:pStyle w:val="TableText"/>
              <w:spacing w:before="200" w:line="218" w:lineRule="auto"/>
              <w:ind w:left="108"/>
            </w:pPr>
            <w:r>
              <w:rPr>
                <w:rFonts w:hint="eastAsia"/>
                <w:spacing w:val="-1"/>
                <w:lang w:val="en-US" w:eastAsia="zh-CN"/>
              </w:rPr>
              <w:t>服务数据管理制度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FWSJGL</w:t>
            </w:r>
            <w:r>
              <w:rPr>
                <w:spacing w:val="-1"/>
              </w:rPr>
              <w:t>）</w:t>
            </w:r>
          </w:p>
        </w:tc>
      </w:tr>
      <w:tr>
        <w:tblPrEx>
          <w:tblW w:w="793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/>
        </w:trPr>
        <w:tc>
          <w:tcPr>
            <w:tcW w:w="1704" w:type="dxa"/>
          </w:tcPr>
          <w:p>
            <w:pPr>
              <w:pStyle w:val="TableText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>
            <w:pPr>
              <w:pStyle w:val="TableText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>
        <w:tblPrEx>
          <w:tblW w:w="793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/>
        </w:trPr>
        <w:tc>
          <w:tcPr>
            <w:tcW w:w="1704" w:type="dxa"/>
          </w:tcPr>
          <w:p>
            <w:pPr>
              <w:pStyle w:val="TableText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555" w:type="dxa"/>
          </w:tcPr>
          <w:p>
            <w:pPr>
              <w:pStyle w:val="TableText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302" w:type="dxa"/>
          </w:tcPr>
          <w:p>
            <w:pPr>
              <w:pStyle w:val="TableText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>
            <w:pPr>
              <w:pStyle w:val="TableText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>
            <w:pPr>
              <w:pStyle w:val="TableText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>
        <w:tblPrEx>
          <w:tblW w:w="793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555" w:type="dxa"/>
          </w:tcPr>
          <w:p>
            <w:pPr>
              <w:pStyle w:val="TableText"/>
              <w:spacing w:before="163"/>
              <w:ind w:left="361"/>
            </w:pPr>
            <w:r>
              <w:rPr>
                <w:spacing w:val="-2"/>
              </w:rPr>
              <w:t>2025-7-4</w:t>
            </w:r>
          </w:p>
        </w:tc>
        <w:tc>
          <w:tcPr>
            <w:tcW w:w="2302" w:type="dxa"/>
          </w:tcPr>
          <w:p>
            <w:pPr>
              <w:pStyle w:val="TableText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>
            <w:pPr>
              <w:pStyle w:val="TableText"/>
              <w:spacing w:before="134" w:line="220" w:lineRule="auto"/>
              <w:ind w:left="480"/>
              <w:rPr>
                <w:rFonts w:eastAsia="宋体"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庄霞</w:t>
            </w:r>
          </w:p>
        </w:tc>
        <w:tc>
          <w:tcPr>
            <w:tcW w:w="1953" w:type="dxa"/>
          </w:tcPr>
          <w:p>
            <w:pPr>
              <w:pStyle w:val="TableText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>
        <w:tblPrEx>
          <w:tblW w:w="793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spacing w:before="164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spacing w:before="164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spacing w:before="134" w:line="220" w:lineRule="auto"/>
              <w:ind w:left="672"/>
            </w:pPr>
          </w:p>
        </w:tc>
      </w:tr>
      <w:tr>
        <w:tblPrEx>
          <w:tblW w:w="793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spacing w:before="165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spacing w:before="165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spacing w:before="135" w:line="220" w:lineRule="auto"/>
              <w:ind w:left="672"/>
            </w:pPr>
          </w:p>
        </w:tc>
      </w:tr>
      <w:tr>
        <w:tblPrEx>
          <w:tblW w:w="793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/>
        </w:trPr>
        <w:tc>
          <w:tcPr>
            <w:tcW w:w="1704" w:type="dxa"/>
          </w:tcPr>
          <w:p>
            <w:pPr>
              <w:pStyle w:val="TableText"/>
              <w:spacing w:before="166" w:line="239" w:lineRule="auto"/>
              <w:ind w:left="638"/>
            </w:pPr>
          </w:p>
        </w:tc>
        <w:tc>
          <w:tcPr>
            <w:tcW w:w="1555" w:type="dxa"/>
          </w:tcPr>
          <w:p>
            <w:pPr>
              <w:pStyle w:val="TableText"/>
              <w:spacing w:before="166"/>
              <w:ind w:left="361"/>
            </w:pPr>
          </w:p>
        </w:tc>
        <w:tc>
          <w:tcPr>
            <w:tcW w:w="2302" w:type="dxa"/>
          </w:tcPr>
          <w:p>
            <w:pPr>
              <w:pStyle w:val="TableText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>
            <w:pPr>
              <w:pStyle w:val="TableText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>
            <w:pPr>
              <w:pStyle w:val="TableText"/>
              <w:spacing w:before="136" w:line="220" w:lineRule="auto"/>
              <w:ind w:left="672"/>
            </w:pPr>
          </w:p>
        </w:tc>
      </w:tr>
      <w:tr>
        <w:tblPrEx>
          <w:tblW w:w="7937" w:type="dxa"/>
          <w:tblInd w:w="5" w:type="dxa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/>
        </w:trPr>
        <w:tc>
          <w:tcPr>
            <w:tcW w:w="1704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55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2302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>
            <w:pPr>
              <w:rPr>
                <w:rFonts w:ascii="Arial"/>
                <w:sz w:val="21"/>
              </w:rPr>
            </w:pPr>
          </w:p>
        </w:tc>
      </w:tr>
    </w:tbl>
    <w:p>
      <w:pPr>
        <w:rPr>
          <w:rFonts w:ascii="Segoe UI" w:eastAsia="Segoe UI" w:hAnsi="Segoe UI" w:cs="Segoe UI" w:hint="default"/>
          <w:i w:val="0"/>
          <w:iCs w:val="0"/>
          <w:caps w:val="0"/>
          <w:color w:val="404040"/>
          <w:spacing w:val="0"/>
          <w:sz w:val="19"/>
          <w:szCs w:val="19"/>
        </w:rPr>
      </w:pPr>
    </w:p>
    <w:p>
      <w:pPr>
        <w:rPr>
          <w:rFonts w:ascii="宋体" w:eastAsia="宋体" w:hAnsi="宋体" w:cstheme="minorBidi"/>
          <w:kern w:val="2"/>
          <w:sz w:val="21"/>
          <w:szCs w:val="24"/>
          <w:lang w:val="en-US" w:eastAsia="zh-CN" w:bidi="ar-SA"/>
        </w:rPr>
      </w:pPr>
      <w:r>
        <w:rPr>
          <w:rFonts w:ascii="宋体" w:eastAsia="宋体" w:hAnsi="宋体" w:cstheme="minorBidi"/>
          <w:kern w:val="2"/>
          <w:sz w:val="21"/>
          <w:szCs w:val="24"/>
          <w:lang w:val="en-US" w:eastAsia="zh-CN" w:bidi="ar-SA"/>
        </w:rPr>
        <w:br w:type="page"/>
      </w:r>
    </w:p>
    <w:sdt>
      <w:sdtPr>
        <w:rPr>
          <w:rFonts w:ascii="宋体" w:eastAsia="宋体" w:hAnsi="宋体" w:cstheme="minorBidi"/>
          <w:kern w:val="2"/>
          <w:sz w:val="21"/>
          <w:szCs w:val="24"/>
          <w:lang w:val="en-US" w:eastAsia="zh-CN" w:bidi="ar-SA"/>
        </w:rPr>
        <w:id w:val="147479644"/>
        <w:docPartObj>
          <w:docPartGallery w:val="Table of Contents"/>
          <w:docPartUnique/>
        </w:docPartObj>
      </w:sdtPr>
      <w:sdtEndPr>
        <w:rPr>
          <w:rFonts w:ascii="Microsoft JhengHei" w:eastAsia="Microsoft JhengHei" w:hAnsi="Microsoft JhengHei" w:cs="Microsoft JhengHei" w:hint="eastAsia"/>
          <w:kern w:val="2"/>
          <w:sz w:val="24"/>
          <w:szCs w:val="24"/>
          <w:lang w:val="en-US" w:eastAsia="zh-CN" w:bidi="ar-SA"/>
        </w:rPr>
      </w:sdtEndPr>
      <w:sdtContent>
        <w:p>
          <w:pPr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instrText xml:space="preserve">TOC \o "1-2" \h \u </w:instrText>
          </w:r>
          <w:r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  <w:fldChar w:fldCharType="separate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_Toc26282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服务数据管理制度</w:t>
          </w:r>
          <w:r>
            <w:tab/>
          </w:r>
          <w:r>
            <w:fldChar w:fldCharType="begin"/>
          </w:r>
          <w:r>
            <w:instrText xml:space="preserve"> PAGEREF _Toc26282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_Toc3614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t>中达丰集团有限公司</w:t>
          </w:r>
          <w:r>
            <w:tab/>
          </w:r>
          <w:r>
            <w:fldChar w:fldCharType="begin"/>
          </w:r>
          <w:r>
            <w:instrText xml:space="preserve"> PAGEREF _Toc3614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_Toc984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ascii="宋体" w:eastAsia="宋体" w:hAnsi="宋体" w:cs="宋体"/>
              <w:spacing w:val="-2"/>
              <w:szCs w:val="21"/>
            </w:rPr>
            <w:t>文档信息</w:t>
          </w:r>
          <w:r>
            <w:tab/>
          </w:r>
          <w:r>
            <w:fldChar w:fldCharType="begin"/>
          </w:r>
          <w:r>
            <w:instrText xml:space="preserve"> PAGEREF _Toc984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_Toc29334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_Toc29334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_Toc14861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_Toc14861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_Toc24130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</w:rPr>
            <w:t>3. 职责分工</w:t>
          </w:r>
          <w:r>
            <w:tab/>
          </w:r>
          <w:r>
            <w:fldChar w:fldCharType="begin"/>
          </w:r>
          <w:r>
            <w:instrText xml:space="preserve"> PAGEREF _Toc24130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_Toc8388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szCs w:val="24"/>
            </w:rPr>
            <w:t xml:space="preserve">3.1. </w:t>
          </w:r>
          <w:r>
            <w:rPr>
              <w:rFonts w:hint="eastAsia"/>
              <w:szCs w:val="24"/>
              <w:lang w:val="en-US" w:eastAsia="zh-CN"/>
            </w:rPr>
            <w:t>总经理</w:t>
          </w:r>
          <w:r>
            <w:tab/>
          </w:r>
          <w:r>
            <w:fldChar w:fldCharType="begin"/>
          </w:r>
          <w:r>
            <w:instrText xml:space="preserve"> PAGEREF _Toc8388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_Toc12048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eastAsia="宋体" w:hint="default"/>
              <w:szCs w:val="24"/>
              <w:lang w:val="en-US" w:eastAsia="zh-CN"/>
            </w:rPr>
            <w:t xml:space="preserve">3.2. </w:t>
          </w:r>
          <w:r>
            <w:rPr>
              <w:rFonts w:hint="eastAsia"/>
              <w:szCs w:val="24"/>
              <w:lang w:val="en-US" w:eastAsia="zh-CN"/>
            </w:rPr>
            <w:t>运维部</w:t>
          </w:r>
          <w:r>
            <w:tab/>
          </w:r>
          <w:r>
            <w:fldChar w:fldCharType="begin"/>
          </w:r>
          <w:r>
            <w:instrText xml:space="preserve"> PAGEREF _Toc12048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_Toc6435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eastAsia="宋体" w:hint="default"/>
              <w:szCs w:val="24"/>
              <w:lang w:val="en-US" w:eastAsia="zh-CN"/>
            </w:rPr>
            <w:t xml:space="preserve">3.3. </w:t>
          </w:r>
          <w:r>
            <w:rPr>
              <w:rFonts w:hint="default"/>
              <w:szCs w:val="24"/>
            </w:rPr>
            <w:t>质量部</w:t>
          </w:r>
          <w:r>
            <w:tab/>
          </w:r>
          <w:r>
            <w:fldChar w:fldCharType="begin"/>
          </w:r>
          <w:r>
            <w:instrText xml:space="preserve"> PAGEREF _Toc6435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_Toc6324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4. </w:t>
          </w:r>
          <w:r>
            <w:rPr>
              <w:rFonts w:hint="eastAsia"/>
              <w:lang w:val="en-US" w:eastAsia="zh-CN"/>
            </w:rPr>
            <w:t>数据分类、分级</w:t>
          </w:r>
          <w:r>
            <w:tab/>
          </w:r>
          <w:r>
            <w:fldChar w:fldCharType="begin"/>
          </w:r>
          <w:r>
            <w:instrText xml:space="preserve"> PAGEREF _Toc6324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_Toc10901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数据生命周期管理</w:t>
          </w:r>
          <w:r>
            <w:tab/>
          </w:r>
          <w:r>
            <w:fldChar w:fldCharType="begin"/>
          </w:r>
          <w:r>
            <w:instrText xml:space="preserve"> PAGEREF _Toc10901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_Toc9577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管理要求</w:t>
          </w:r>
          <w:r>
            <w:tab/>
          </w:r>
          <w:r>
            <w:fldChar w:fldCharType="begin"/>
          </w:r>
          <w:r>
            <w:instrText xml:space="preserve"> PAGEREF _Toc9577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_Toc15606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7. </w:t>
          </w:r>
          <w:r>
            <w:rPr>
              <w:rFonts w:hint="eastAsia"/>
              <w:lang w:val="en-US" w:eastAsia="zh-CN"/>
            </w:rPr>
            <w:t>关键指标</w:t>
          </w:r>
          <w:r>
            <w:tab/>
          </w:r>
          <w:r>
            <w:fldChar w:fldCharType="begin"/>
          </w:r>
          <w:r>
            <w:instrText xml:space="preserve"> PAGEREF _Toc15606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begin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instrText xml:space="preserve"> HYPERLINK \l _Toc20965 </w:instrText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8. </w:t>
          </w:r>
          <w:r>
            <w:rPr>
              <w:rFonts w:hint="eastAsia"/>
              <w:lang w:val="en-US" w:eastAsia="zh-CN"/>
            </w:rPr>
            <w:t>相关记录文件</w:t>
          </w:r>
          <w:r>
            <w:tab/>
          </w:r>
          <w:r>
            <w:fldChar w:fldCharType="begin"/>
          </w:r>
          <w:r>
            <w:instrText xml:space="preserve"> PAGEREF _Toc20965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  <w:p>
          <w:pPr>
            <w:bidi w:val="0"/>
            <w:rPr>
              <w:rFonts w:ascii="Microsoft JhengHei" w:eastAsia="Microsoft JhengHei" w:hAnsi="Microsoft JhengHei" w:cs="Microsoft JhengHei" w:hint="eastAsia"/>
              <w:sz w:val="24"/>
              <w:szCs w:val="24"/>
            </w:rPr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</w:sdtContent>
    </w:sdt>
    <w:p>
      <w:pPr>
        <w:rPr>
          <w:rFonts w:hint="default"/>
          <w:sz w:val="28"/>
          <w:szCs w:val="28"/>
        </w:rPr>
      </w:pPr>
      <w:r>
        <w:rPr>
          <w:rFonts w:hint="default"/>
          <w:sz w:val="28"/>
          <w:szCs w:val="28"/>
        </w:rPr>
        <w:br w:type="page"/>
      </w:r>
    </w:p>
    <w:p>
      <w:pPr>
        <w:pStyle w:val="1"/>
        <w:bidi w:val="0"/>
        <w:rPr>
          <w:rFonts w:hint="default"/>
        </w:rPr>
      </w:pPr>
      <w:bookmarkStart w:id="3" w:name="_Toc29334"/>
      <w:r>
        <w:rPr>
          <w:rFonts w:hint="default"/>
        </w:rPr>
        <w:t>目的</w:t>
      </w:r>
      <w:bookmarkEnd w:id="3"/>
    </w:p>
    <w:p>
      <w:pPr>
        <w:pStyle w:val="a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本制度旨在规范IT服务过程中各类数据的全生命周期管理，确保数据的完整性、安全性和可用性，满足ITSS（信息技术服务标准）认证要求，提升IT服务质量和管理水平。</w:t>
      </w:r>
    </w:p>
    <w:p>
      <w:pPr>
        <w:pStyle w:val="1"/>
        <w:bidi w:val="0"/>
        <w:rPr>
          <w:rFonts w:hint="default"/>
        </w:rPr>
      </w:pPr>
      <w:bookmarkStart w:id="4" w:name="_Toc14861"/>
      <w:r>
        <w:rPr>
          <w:rFonts w:hint="default"/>
        </w:rPr>
        <w:t>适用范围</w:t>
      </w:r>
      <w:bookmarkEnd w:id="4"/>
    </w:p>
    <w:p>
      <w:pPr>
        <w:pStyle w:val="a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本制度适用于公司IT服务过程中涉及的所有数据，包括但不限于：服务交付数据（SLA、工单记录）、运维监控数据（系统日志、性能数据）、配置管理数据（CMDB信息）、客户服务数据（客户信息、需求文档）、质量管理数据（KPI指标、客户满意度）</w:t>
      </w:r>
    </w:p>
    <w:p>
      <w:pPr>
        <w:pStyle w:val="1"/>
        <w:bidi w:val="0"/>
        <w:rPr>
          <w:rFonts w:hint="default"/>
        </w:rPr>
      </w:pPr>
      <w:bookmarkStart w:id="5" w:name="_Toc24130"/>
      <w:r>
        <w:rPr>
          <w:rFonts w:hint="default"/>
        </w:rPr>
        <w:t>职责分工</w:t>
      </w:r>
      <w:bookmarkEnd w:id="5"/>
    </w:p>
    <w:p>
      <w:pPr>
        <w:pStyle w:val="Heading2"/>
        <w:bidi w:val="0"/>
        <w:rPr>
          <w:rFonts w:hint="default"/>
          <w:sz w:val="24"/>
          <w:szCs w:val="24"/>
        </w:rPr>
      </w:pPr>
      <w:bookmarkStart w:id="6" w:name="_Toc8388"/>
      <w:r>
        <w:rPr>
          <w:rFonts w:hint="eastAsia"/>
          <w:sz w:val="24"/>
          <w:szCs w:val="24"/>
          <w:lang w:val="en-US" w:eastAsia="zh-CN"/>
        </w:rPr>
        <w:t>总经理</w:t>
      </w:r>
      <w:bookmarkEnd w:id="6"/>
    </w:p>
    <w:p>
      <w:pPr>
        <w:pStyle w:val="a3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负责制定数据管理策略，审批重大数据操作事项，监督数据安全管理</w:t>
      </w:r>
      <w:r>
        <w:rPr>
          <w:rFonts w:hint="eastAsia"/>
          <w:lang w:val="en-US" w:eastAsia="zh-CN"/>
        </w:rPr>
        <w:t>。</w:t>
      </w:r>
    </w:p>
    <w:p>
      <w:pPr>
        <w:pStyle w:val="Heading2"/>
        <w:bidi w:val="0"/>
        <w:rPr>
          <w:rFonts w:eastAsia="宋体" w:hint="default"/>
          <w:sz w:val="24"/>
          <w:szCs w:val="24"/>
          <w:lang w:val="en-US" w:eastAsia="zh-CN"/>
        </w:rPr>
      </w:pPr>
      <w:bookmarkStart w:id="7" w:name="_Toc12048"/>
      <w:r>
        <w:rPr>
          <w:rFonts w:hint="eastAsia"/>
          <w:sz w:val="24"/>
          <w:szCs w:val="24"/>
          <w:lang w:val="en-US" w:eastAsia="zh-CN"/>
        </w:rPr>
        <w:t>运维部</w:t>
      </w:r>
      <w:bookmarkEnd w:id="7"/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负责数据的采集、存储和维护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实施数据备份和恢复方案</w:t>
      </w:r>
    </w:p>
    <w:p>
      <w:pPr>
        <w:pStyle w:val="a3"/>
        <w:numPr>
          <w:ilvl w:val="0"/>
          <w:numId w:val="2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确保数据采集的准确性和及时性</w:t>
      </w:r>
    </w:p>
    <w:p>
      <w:pPr>
        <w:pStyle w:val="Heading2"/>
        <w:bidi w:val="0"/>
        <w:rPr>
          <w:rFonts w:eastAsia="宋体" w:hint="eastAsia"/>
          <w:sz w:val="24"/>
          <w:szCs w:val="24"/>
          <w:lang w:val="en-US" w:eastAsia="zh-CN"/>
        </w:rPr>
      </w:pPr>
      <w:bookmarkStart w:id="8" w:name="_Toc6435"/>
      <w:r>
        <w:rPr>
          <w:rFonts w:hint="default"/>
          <w:sz w:val="24"/>
          <w:szCs w:val="24"/>
        </w:rPr>
        <w:t>质量部</w:t>
      </w:r>
      <w:bookmarkEnd w:id="8"/>
    </w:p>
    <w:p>
      <w:pPr>
        <w:pStyle w:val="NormalWeb"/>
        <w:keepNext w:val="0"/>
        <w:keepLines w:val="0"/>
        <w:widowControl/>
        <w:numPr>
          <w:ilvl w:val="0"/>
          <w:numId w:val="3"/>
        </w:numPr>
        <w:suppressLineNumbers w:val="0"/>
        <w:shd w:val="clear" w:color="auto" w:fill="auto"/>
        <w:spacing w:before="165" w:beforeAutospacing="0" w:after="165" w:afterAutospacing="0" w:line="343" w:lineRule="atLeast"/>
        <w:ind w:left="425" w:right="0" w:hanging="425" w:leftChars="0" w:firstLineChars="0"/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监督数据质量管理</w:t>
      </w:r>
    </w:p>
    <w:p>
      <w:pPr>
        <w:pStyle w:val="NormalWeb"/>
        <w:keepNext w:val="0"/>
        <w:keepLines w:val="0"/>
        <w:widowControl/>
        <w:numPr>
          <w:ilvl w:val="0"/>
          <w:numId w:val="3"/>
        </w:numPr>
        <w:suppressLineNumbers w:val="0"/>
        <w:shd w:val="clear" w:color="auto" w:fill="auto"/>
        <w:spacing w:before="165" w:beforeAutospacing="0" w:after="165" w:afterAutospacing="0" w:line="343" w:lineRule="atLeast"/>
        <w:ind w:left="425" w:right="0" w:hanging="425" w:leftChars="0" w:firstLineChars="0"/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负责ITSS认证对接工作</w:t>
      </w:r>
    </w:p>
    <w:p>
      <w:pPr>
        <w:pStyle w:val="NormalWeb"/>
        <w:keepNext w:val="0"/>
        <w:keepLines w:val="0"/>
        <w:widowControl/>
        <w:numPr>
          <w:ilvl w:val="0"/>
          <w:numId w:val="3"/>
        </w:numPr>
        <w:suppressLineNumbers w:val="0"/>
        <w:shd w:val="clear" w:color="auto" w:fill="auto"/>
        <w:spacing w:before="165" w:beforeAutospacing="0" w:after="165" w:afterAutospacing="0" w:line="343" w:lineRule="atLeast"/>
        <w:ind w:left="425" w:right="0" w:hanging="425" w:leftChars="0" w:firstLineChars="0"/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推动数据管理持续改进</w:t>
      </w:r>
    </w:p>
    <w:p>
      <w:pP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br w:type="page"/>
      </w:r>
    </w:p>
    <w:p>
      <w:pPr>
        <w:pStyle w:val="1"/>
        <w:bidi w:val="0"/>
        <w:rPr>
          <w:rFonts w:hint="eastAsia"/>
          <w:lang w:val="en-US" w:eastAsia="zh-CN"/>
        </w:rPr>
      </w:pPr>
      <w:bookmarkStart w:id="9" w:name="_Toc6324"/>
      <w:r>
        <w:rPr>
          <w:rFonts w:hint="eastAsia"/>
          <w:lang w:val="en-US" w:eastAsia="zh-CN"/>
        </w:rPr>
        <w:t>数据分类、分级</w:t>
      </w:r>
      <w:bookmarkEnd w:id="9"/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93"/>
        <w:gridCol w:w="6829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</w:tcPr>
          <w:p>
            <w:pPr>
              <w:widowControl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数据分类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类别</w:t>
            </w:r>
          </w:p>
        </w:tc>
        <w:tc>
          <w:tcPr>
            <w:tcW w:w="6829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内容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服务交付数据</w:t>
            </w:r>
          </w:p>
        </w:tc>
        <w:tc>
          <w:tcPr>
            <w:tcW w:w="6829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服务合同、SLA协议、工单记录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运维数据</w:t>
            </w:r>
          </w:p>
        </w:tc>
        <w:tc>
          <w:tcPr>
            <w:tcW w:w="6829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系统日志、监控数据、故障记录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配置数据</w:t>
            </w:r>
          </w:p>
        </w:tc>
        <w:tc>
          <w:tcPr>
            <w:tcW w:w="6829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CMDB信息、资产配置信息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客户数据</w:t>
            </w:r>
          </w:p>
        </w:tc>
        <w:tc>
          <w:tcPr>
            <w:tcW w:w="6829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客户信息、需求文档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93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质量数据</w:t>
            </w:r>
          </w:p>
        </w:tc>
        <w:tc>
          <w:tcPr>
            <w:tcW w:w="6829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KPI指标、客户满意度调查</w:t>
            </w:r>
          </w:p>
        </w:tc>
      </w:tr>
    </w:tbl>
    <w:p>
      <w:pPr>
        <w:rPr>
          <w:rFonts w:hint="default"/>
          <w:lang w:val="en-US" w:eastAsia="zh-CN"/>
        </w:rPr>
      </w:pP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1"/>
        <w:gridCol w:w="6841"/>
      </w:tblGrid>
      <w:tr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gridSpan w:val="2"/>
          </w:tcPr>
          <w:p>
            <w:pPr>
              <w:widowControl w:val="0"/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数据分级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术语</w:t>
            </w:r>
          </w:p>
        </w:tc>
        <w:tc>
          <w:tcPr>
            <w:tcW w:w="684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定义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机密级</w:t>
            </w:r>
          </w:p>
        </w:tc>
        <w:tc>
          <w:tcPr>
            <w:tcW w:w="684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涉及客户隐私，公司核心业务的敏感数据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重要级</w:t>
            </w:r>
          </w:p>
        </w:tc>
        <w:tc>
          <w:tcPr>
            <w:tcW w:w="684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日常运维、服务交付等关键数据</w:t>
            </w:r>
          </w:p>
        </w:tc>
      </w:tr>
      <w:tr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8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普通级</w:t>
            </w:r>
          </w:p>
        </w:tc>
        <w:tc>
          <w:tcPr>
            <w:tcW w:w="6841" w:type="dxa"/>
          </w:tcPr>
          <w:p>
            <w:pPr>
              <w:widowControl w:val="0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一般参考数据</w:t>
            </w:r>
          </w:p>
        </w:tc>
      </w:tr>
    </w:tbl>
    <w:p>
      <w:pPr>
        <w:rPr>
          <w:rFonts w:hint="default"/>
          <w:lang w:val="en-US" w:eastAsia="zh-CN"/>
        </w:rPr>
      </w:pPr>
    </w:p>
    <w:p>
      <w:pPr>
        <w:pStyle w:val="1"/>
        <w:bidi w:val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 xml:space="preserve"> </w:t>
      </w:r>
      <w:bookmarkStart w:id="10" w:name="_Toc10901"/>
      <w:r>
        <w:rPr>
          <w:rFonts w:hint="eastAsia"/>
          <w:lang w:val="en-US" w:eastAsia="zh-CN"/>
        </w:rPr>
        <w:t>数据生命周期管理</w:t>
      </w:r>
      <w:bookmarkEnd w:id="10"/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数据采集</w:t>
      </w:r>
    </w:p>
    <w:p>
      <w:pPr>
        <w:pStyle w:val="a3"/>
        <w:numPr>
          <w:ilvl w:val="0"/>
          <w:numId w:val="5"/>
        </w:numPr>
        <w:bidi w:val="0"/>
        <w:ind w:left="84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建立规范的数据采集流程</w:t>
      </w:r>
    </w:p>
    <w:p>
      <w:pPr>
        <w:pStyle w:val="a3"/>
        <w:numPr>
          <w:ilvl w:val="0"/>
          <w:numId w:val="5"/>
        </w:numPr>
        <w:bidi w:val="0"/>
        <w:ind w:left="84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自动化采集工作需要经过安全评估</w:t>
      </w:r>
    </w:p>
    <w:p>
      <w:pPr>
        <w:pStyle w:val="a3"/>
        <w:numPr>
          <w:ilvl w:val="0"/>
          <w:numId w:val="5"/>
        </w:numPr>
        <w:bidi w:val="0"/>
        <w:ind w:left="84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人工录入数据需要经过双重验证</w:t>
      </w:r>
    </w:p>
    <w:p>
      <w:pPr>
        <w:pStyle w:val="a3"/>
        <w:numPr>
          <w:ilvl w:val="0"/>
          <w:numId w:val="5"/>
        </w:numPr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确保数据来源的合法性和可靠性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数据存储</w:t>
      </w:r>
    </w:p>
    <w:p>
      <w:pPr>
        <w:pStyle w:val="a3"/>
        <w:numPr>
          <w:ilvl w:val="0"/>
          <w:numId w:val="6"/>
        </w:numPr>
        <w:bidi w:val="0"/>
        <w:ind w:left="84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核心业务数据必须存储在境内数据中心</w:t>
      </w:r>
    </w:p>
    <w:p>
      <w:pPr>
        <w:pStyle w:val="a3"/>
        <w:numPr>
          <w:ilvl w:val="0"/>
          <w:numId w:val="6"/>
        </w:numPr>
        <w:bidi w:val="0"/>
        <w:ind w:left="84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实施分级存储策略</w:t>
      </w:r>
    </w:p>
    <w:p>
      <w:pPr>
        <w:pStyle w:val="a3"/>
        <w:numPr>
          <w:ilvl w:val="0"/>
          <w:numId w:val="6"/>
        </w:numPr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建立完善的数据备份机制：</w:t>
      </w:r>
    </w:p>
    <w:p>
      <w:pPr>
        <w:pStyle w:val="a3"/>
        <w:numPr>
          <w:ilvl w:val="0"/>
          <w:numId w:val="4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数据使用</w:t>
      </w:r>
    </w:p>
    <w:p>
      <w:pPr>
        <w:pStyle w:val="a3"/>
        <w:numPr>
          <w:ilvl w:val="0"/>
          <w:numId w:val="7"/>
        </w:numPr>
        <w:bidi w:val="0"/>
        <w:ind w:left="845" w:hanging="425" w:leftChars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实施基于角色的访问控制（RBAC）</w:t>
      </w:r>
    </w:p>
    <w:p>
      <w:pPr>
        <w:pStyle w:val="a3"/>
        <w:numPr>
          <w:ilvl w:val="0"/>
          <w:numId w:val="7"/>
        </w:numPr>
        <w:bidi w:val="0"/>
        <w:ind w:left="845" w:hanging="425" w:leftChars="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敏感数据访问需经过审批</w:t>
      </w:r>
    </w:p>
    <w:p>
      <w:pPr>
        <w:pStyle w:val="a3"/>
        <w:numPr>
          <w:ilvl w:val="0"/>
          <w:numId w:val="7"/>
        </w:numPr>
        <w:bidi w:val="0"/>
        <w:ind w:left="845" w:hanging="425" w:leftChars="0" w:firstLineChars="0"/>
        <w:rPr>
          <w:rFonts w:hint="eastAsia"/>
          <w:lang w:val="en-US" w:eastAsia="zh-CN"/>
        </w:rPr>
      </w:pPr>
      <w:r>
        <w:rPr>
          <w:rFonts w:hint="default"/>
          <w:lang w:val="en-US" w:eastAsia="zh-CN"/>
        </w:rPr>
        <w:t>记录所有数据访问操作日志</w:t>
      </w:r>
    </w:p>
    <w:p>
      <w:pPr>
        <w:pStyle w:val="NormalWeb"/>
        <w:keepNext w:val="0"/>
        <w:keepLines w:val="0"/>
        <w:widowControl/>
        <w:numPr>
          <w:ilvl w:val="0"/>
          <w:numId w:val="7"/>
        </w:numPr>
        <w:suppressLineNumbers w:val="0"/>
        <w:shd w:val="clear" w:color="auto" w:fill="auto"/>
        <w:spacing w:before="165" w:beforeAutospacing="0" w:after="165" w:afterAutospacing="0" w:line="343" w:lineRule="atLeast"/>
        <w:ind w:left="845" w:right="0" w:hanging="425" w:leftChars="0" w:firstLineChars="0"/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禁止未经授权的数据复制和传播</w:t>
      </w:r>
    </w:p>
    <w:p>
      <w:pPr>
        <w:pStyle w:val="NormalWeb"/>
        <w:keepNext w:val="0"/>
        <w:keepLines w:val="0"/>
        <w:widowControl/>
        <w:numPr>
          <w:ilvl w:val="0"/>
          <w:numId w:val="4"/>
        </w:numPr>
        <w:suppressLineNumbers w:val="0"/>
        <w:shd w:val="clear" w:color="auto" w:fill="auto"/>
        <w:spacing w:before="165" w:beforeAutospacing="0" w:after="165" w:afterAutospacing="0" w:line="343" w:lineRule="atLeast"/>
        <w:ind w:left="425" w:right="0" w:hanging="425" w:leftChars="0" w:firstLineChars="0"/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数据共享</w:t>
      </w:r>
    </w:p>
    <w:p>
      <w:pPr>
        <w:pStyle w:val="NormalWeb"/>
        <w:keepNext w:val="0"/>
        <w:keepLines w:val="0"/>
        <w:widowControl/>
        <w:numPr>
          <w:ilvl w:val="0"/>
          <w:numId w:val="8"/>
        </w:numPr>
        <w:suppressLineNumbers w:val="0"/>
        <w:shd w:val="clear" w:color="auto" w:fill="auto"/>
        <w:spacing w:before="165" w:beforeAutospacing="0" w:after="165" w:afterAutospacing="0" w:line="343" w:lineRule="atLeast"/>
        <w:ind w:left="845" w:right="0" w:hanging="425" w:leftChars="0" w:firstLineChars="0"/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内部共享需遵循最小必要原则</w:t>
      </w:r>
    </w:p>
    <w:p>
      <w:pPr>
        <w:pStyle w:val="NormalWeb"/>
        <w:keepNext w:val="0"/>
        <w:keepLines w:val="0"/>
        <w:widowControl/>
        <w:numPr>
          <w:ilvl w:val="0"/>
          <w:numId w:val="8"/>
        </w:numPr>
        <w:suppressLineNumbers w:val="0"/>
        <w:shd w:val="clear" w:color="auto" w:fill="auto"/>
        <w:spacing w:before="165" w:beforeAutospacing="0" w:after="165" w:afterAutospacing="0" w:line="343" w:lineRule="atLeast"/>
        <w:ind w:left="845" w:right="0" w:hanging="425" w:leftChars="0" w:firstLineChars="0"/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外部共享必须签订保密协议</w:t>
      </w:r>
    </w:p>
    <w:p>
      <w:pPr>
        <w:pStyle w:val="NormalWeb"/>
        <w:keepNext w:val="0"/>
        <w:keepLines w:val="0"/>
        <w:widowControl/>
        <w:numPr>
          <w:ilvl w:val="0"/>
          <w:numId w:val="8"/>
        </w:numPr>
        <w:suppressLineNumbers w:val="0"/>
        <w:shd w:val="clear" w:color="auto" w:fill="auto"/>
        <w:spacing w:before="165" w:beforeAutospacing="0" w:after="165" w:afterAutospacing="0" w:line="343" w:lineRule="atLeast"/>
        <w:ind w:left="845" w:right="0" w:hanging="425" w:leftChars="0" w:firstLineChars="0"/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跨境数据传输需特别审批</w:t>
      </w:r>
    </w:p>
    <w:p>
      <w:pPr>
        <w:pStyle w:val="NormalWeb"/>
        <w:keepNext w:val="0"/>
        <w:keepLines w:val="0"/>
        <w:widowControl/>
        <w:numPr>
          <w:ilvl w:val="0"/>
          <w:numId w:val="4"/>
        </w:numPr>
        <w:suppressLineNumbers w:val="0"/>
        <w:shd w:val="clear" w:color="auto" w:fill="auto"/>
        <w:spacing w:before="165" w:beforeAutospacing="0" w:after="165" w:afterAutospacing="0" w:line="343" w:lineRule="atLeast"/>
        <w:ind w:left="425" w:right="0" w:hanging="425" w:leftChars="0" w:firstLineChars="0"/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数据销毁</w:t>
      </w:r>
    </w:p>
    <w:p>
      <w:pPr>
        <w:pStyle w:val="NormalWeb"/>
        <w:keepNext w:val="0"/>
        <w:keepLines w:val="0"/>
        <w:widowControl/>
        <w:numPr>
          <w:ilvl w:val="0"/>
          <w:numId w:val="9"/>
        </w:numPr>
        <w:suppressLineNumbers w:val="0"/>
        <w:shd w:val="clear" w:color="auto" w:fill="auto"/>
        <w:spacing w:before="165" w:beforeAutospacing="0" w:after="165" w:afterAutospacing="0" w:line="343" w:lineRule="atLeast"/>
        <w:ind w:left="845" w:right="0" w:hanging="425" w:leftChars="0" w:firstLineChars="0"/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过期数据必须安全销毁</w:t>
      </w:r>
    </w:p>
    <w:p>
      <w:pPr>
        <w:pStyle w:val="NormalWeb"/>
        <w:keepNext w:val="0"/>
        <w:keepLines w:val="0"/>
        <w:widowControl/>
        <w:numPr>
          <w:ilvl w:val="0"/>
          <w:numId w:val="9"/>
        </w:numPr>
        <w:suppressLineNumbers w:val="0"/>
        <w:shd w:val="clear" w:color="auto" w:fill="auto"/>
        <w:spacing w:before="165" w:beforeAutospacing="0" w:after="165" w:afterAutospacing="0" w:line="343" w:lineRule="atLeast"/>
        <w:ind w:left="845" w:right="0" w:hanging="425" w:leftChars="0" w:firstLineChars="0"/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</w:pP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存储介质需进行物理或逻辑销毁</w:t>
      </w:r>
      <w:r>
        <w:rPr>
          <w:rFonts w:ascii="宋体" w:eastAsia="宋体" w:hAnsi="宋体" w:cs="宋体" w:hint="eastAsia"/>
          <w:kern w:val="2"/>
          <w:sz w:val="24"/>
          <w:szCs w:val="24"/>
          <w:lang w:val="en-US" w:eastAsia="zh-CN" w:bidi="ar-SA"/>
        </w:rPr>
        <w:t>，</w:t>
      </w:r>
      <w:r>
        <w:rPr>
          <w:rFonts w:ascii="宋体" w:eastAsia="宋体" w:hAnsi="宋体" w:cs="宋体" w:hint="default"/>
          <w:kern w:val="2"/>
          <w:sz w:val="24"/>
          <w:szCs w:val="24"/>
          <w:lang w:val="en-US" w:eastAsia="zh-CN" w:bidi="ar-SA"/>
        </w:rPr>
        <w:t>保留完整的销毁记录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1" w:name="_Toc9577"/>
      <w:r>
        <w:rPr>
          <w:rFonts w:hint="default"/>
          <w:lang w:val="en-US" w:eastAsia="zh-CN"/>
        </w:rPr>
        <w:t>管理要求</w:t>
      </w:r>
      <w:bookmarkEnd w:id="11"/>
    </w:p>
    <w:p>
      <w:pPr>
        <w:pStyle w:val="a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访问控制</w:t>
      </w:r>
    </w:p>
    <w:p>
      <w:pPr>
        <w:pStyle w:val="a"/>
        <w:numPr>
          <w:ilvl w:val="0"/>
          <w:numId w:val="11"/>
        </w:numPr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实施严格的权限管理</w:t>
      </w:r>
    </w:p>
    <w:p>
      <w:pPr>
        <w:pStyle w:val="a"/>
        <w:numPr>
          <w:ilvl w:val="0"/>
          <w:numId w:val="11"/>
        </w:numPr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采用双因素认证</w:t>
      </w:r>
    </w:p>
    <w:p>
      <w:pPr>
        <w:pStyle w:val="a"/>
        <w:numPr>
          <w:ilvl w:val="0"/>
          <w:numId w:val="11"/>
        </w:numPr>
        <w:bidi w:val="0"/>
        <w:ind w:left="84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定期审查访问权限</w:t>
      </w:r>
    </w:p>
    <w:p>
      <w:pPr>
        <w:pStyle w:val="a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加密要求</w:t>
      </w:r>
    </w:p>
    <w:p>
      <w:pPr>
        <w:pStyle w:val="a"/>
        <w:numPr>
          <w:ilvl w:val="0"/>
          <w:numId w:val="12"/>
        </w:numPr>
        <w:bidi w:val="0"/>
        <w:ind w:left="1260" w:hanging="42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传输加密：使用TLS 1.2及以上协议</w:t>
      </w:r>
    </w:p>
    <w:p>
      <w:pPr>
        <w:pStyle w:val="a"/>
        <w:numPr>
          <w:ilvl w:val="0"/>
          <w:numId w:val="12"/>
        </w:numPr>
        <w:bidi w:val="0"/>
        <w:ind w:left="1260" w:hanging="42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存储加密：采用AES-256加密算法</w:t>
      </w:r>
    </w:p>
    <w:p>
      <w:pPr>
        <w:pStyle w:val="a"/>
        <w:numPr>
          <w:ilvl w:val="0"/>
          <w:numId w:val="12"/>
        </w:numPr>
        <w:bidi w:val="0"/>
        <w:ind w:left="1260" w:hanging="42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敏感数据必须加密存储</w:t>
      </w:r>
    </w:p>
    <w:p>
      <w:pPr>
        <w:pStyle w:val="a"/>
        <w:numPr>
          <w:ilvl w:val="0"/>
          <w:numId w:val="10"/>
        </w:numPr>
        <w:bidi w:val="0"/>
        <w:ind w:left="425" w:hanging="425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安全审计</w:t>
      </w:r>
    </w:p>
    <w:p>
      <w:pPr>
        <w:pStyle w:val="a"/>
        <w:numPr>
          <w:ilvl w:val="0"/>
          <w:numId w:val="13"/>
        </w:numPr>
        <w:bidi w:val="0"/>
        <w:ind w:left="1260" w:hanging="42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记录所有关键数据操作</w:t>
      </w:r>
    </w:p>
    <w:p>
      <w:pPr>
        <w:pStyle w:val="a"/>
        <w:numPr>
          <w:ilvl w:val="0"/>
          <w:numId w:val="13"/>
        </w:numPr>
        <w:bidi w:val="0"/>
        <w:ind w:left="1260" w:hanging="42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审计日志至少保留6个月</w:t>
      </w:r>
    </w:p>
    <w:p>
      <w:pPr>
        <w:pStyle w:val="a"/>
        <w:numPr>
          <w:ilvl w:val="0"/>
          <w:numId w:val="13"/>
        </w:numPr>
        <w:bidi w:val="0"/>
        <w:ind w:left="1260" w:hanging="420" w:leftChars="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定期进行安全漏洞扫描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2" w:name="_Toc15606"/>
      <w:r>
        <w:rPr>
          <w:rFonts w:hint="eastAsia"/>
          <w:lang w:val="en-US" w:eastAsia="zh-CN"/>
        </w:rPr>
        <w:t>关键指标</w:t>
      </w:r>
      <w:bookmarkEnd w:id="12"/>
    </w:p>
    <w:tbl>
      <w:tblPr>
        <w:tblStyle w:val="TableNormal0"/>
        <w:tblW w:w="807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6"/>
        <w:gridCol w:w="2148"/>
        <w:gridCol w:w="2974"/>
        <w:gridCol w:w="991"/>
        <w:gridCol w:w="991"/>
      </w:tblGrid>
      <w:tr>
        <w:tblPrEx>
          <w:tblW w:w="8070" w:type="dxa"/>
          <w:jc w:val="center"/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  <w:jc w:val="center"/>
        </w:trPr>
        <w:tc>
          <w:tcPr>
            <w:tcW w:w="966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2148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2974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991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eastAsia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考核频次</w:t>
            </w:r>
          </w:p>
        </w:tc>
        <w:tc>
          <w:tcPr>
            <w:tcW w:w="991" w:type="dxa"/>
            <w:shd w:val="clear" w:color="auto" w:fill="C0C0C0"/>
            <w:vAlign w:val="center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205" w:line="221" w:lineRule="auto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b/>
                <w:bCs/>
                <w:snapToGrid w:val="0"/>
                <w:color w:val="000000"/>
                <w:spacing w:val="-7"/>
                <w:kern w:val="0"/>
                <w:sz w:val="24"/>
                <w:szCs w:val="24"/>
                <w:lang w:val="en-US" w:eastAsia="zh-CN" w:bidi="ar-SA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24"/>
                <w:szCs w:val="24"/>
                <w:lang w:val="en-US" w:eastAsia="zh-CN"/>
              </w:rPr>
              <w:t>目标值</w:t>
            </w:r>
          </w:p>
        </w:tc>
      </w:tr>
      <w:tr>
        <w:tblPrEx>
          <w:tblW w:w="8070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/>
          <w:jc w:val="center"/>
        </w:trPr>
        <w:tc>
          <w:tcPr>
            <w:tcW w:w="966" w:type="dxa"/>
            <w:shd w:val="clear" w:color="auto" w:fill="auto"/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 w:firstLine="0" w:leftChars="0" w:rightChars="0" w:firstLineChars="0"/>
              <w:jc w:val="center"/>
              <w:textAlignment w:val="auto"/>
              <w:rPr>
                <w:rFonts w:hint="default"/>
                <w:w w:val="105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1</w:t>
            </w:r>
          </w:p>
        </w:tc>
        <w:tc>
          <w:tcPr>
            <w:tcW w:w="2148" w:type="dxa"/>
            <w:shd w:val="clear" w:color="auto" w:fill="auto"/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 w:firstLine="0" w:leftChars="0" w:rightChars="0" w:firstLineChars="0"/>
              <w:jc w:val="center"/>
              <w:textAlignment w:val="auto"/>
              <w:rPr>
                <w:rFonts w:ascii="宋体" w:eastAsia="宋体" w:hAnsi="宋体" w:cs="宋体" w:hint="default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服务数据</w:t>
            </w:r>
          </w:p>
        </w:tc>
        <w:tc>
          <w:tcPr>
            <w:tcW w:w="2974" w:type="dxa"/>
            <w:shd w:val="clear" w:color="auto" w:fill="auto"/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 w:firstLine="0" w:leftChars="0" w:rightChars="0" w:firstLineChars="0"/>
              <w:jc w:val="center"/>
              <w:textAlignment w:val="auto"/>
              <w:rPr>
                <w:rFonts w:ascii="宋体" w:eastAsia="宋体" w:hAnsi="宋体" w:cs="宋体" w:hint="default"/>
                <w:i w:val="0"/>
                <w:iCs w:val="0"/>
                <w:caps w:val="0"/>
                <w:color w:val="404040"/>
                <w:spacing w:val="0"/>
                <w:sz w:val="24"/>
                <w:szCs w:val="24"/>
                <w:shd w:val="clear" w:color="auto" w:fill="FFFFFF"/>
                <w:lang w:val="en-US" w:eastAsia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对服务数据分析利用次数</w:t>
            </w:r>
          </w:p>
        </w:tc>
        <w:tc>
          <w:tcPr>
            <w:tcW w:w="991" w:type="dxa"/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 w:firstLine="0" w:leftChars="0" w:rightChars="0" w:firstLineChars="0"/>
              <w:jc w:val="center"/>
              <w:textAlignment w:val="auto"/>
              <w:rPr>
                <w:rFonts w:hint="eastAsia"/>
                <w:w w:val="105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按季度</w:t>
            </w:r>
          </w:p>
        </w:tc>
        <w:tc>
          <w:tcPr>
            <w:tcW w:w="991" w:type="dxa"/>
            <w:vAlign w:val="center"/>
          </w:tcPr>
          <w:p>
            <w:pPr>
              <w:pStyle w:val="NormalWeb"/>
              <w:keepNext w:val="0"/>
              <w:keepLines w:val="0"/>
              <w:pageBreakBefore w:val="0"/>
              <w:widowControl/>
              <w:suppressLineNumbers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before="0" w:beforeAutospacing="0" w:after="0" w:afterAutospacing="0" w:line="360" w:lineRule="auto"/>
              <w:ind w:left="0" w:right="0" w:firstLine="0" w:leftChars="0" w:rightChars="0" w:firstLineChars="0"/>
              <w:jc w:val="center"/>
              <w:textAlignment w:val="auto"/>
              <w:rPr>
                <w:rFonts w:hint="default"/>
                <w:w w:val="105"/>
                <w:sz w:val="18"/>
                <w:szCs w:val="18"/>
                <w:lang w:val="en-US" w:eastAsia="zh-CN"/>
              </w:rPr>
            </w:pPr>
            <w:r>
              <w:rPr>
                <w:rFonts w:hint="eastAsia"/>
                <w:w w:val="105"/>
                <w:sz w:val="18"/>
                <w:szCs w:val="18"/>
                <w:lang w:val="en-US" w:eastAsia="zh-CN"/>
              </w:rPr>
              <w:t>≥1次</w:t>
            </w:r>
          </w:p>
        </w:tc>
      </w:tr>
    </w:tbl>
    <w:p>
      <w:pPr>
        <w:pStyle w:val="a"/>
        <w:rPr>
          <w:rFonts w:hint="default"/>
          <w:lang w:val="en-US" w:eastAsia="zh-CN"/>
        </w:rPr>
      </w:pPr>
    </w:p>
    <w:p>
      <w:pPr>
        <w:pStyle w:val="1"/>
        <w:bidi w:val="0"/>
        <w:rPr>
          <w:rFonts w:hint="eastAsia"/>
          <w:lang w:val="en-US" w:eastAsia="zh-CN"/>
        </w:rPr>
      </w:pPr>
      <w:bookmarkStart w:id="13" w:name="_Toc20965"/>
      <w:r>
        <w:rPr>
          <w:rFonts w:hint="eastAsia"/>
          <w:lang w:val="en-US" w:eastAsia="zh-CN"/>
        </w:rPr>
        <w:t>相关记录文件</w:t>
      </w:r>
      <w:bookmarkEnd w:id="13"/>
      <w:bookmarkStart w:id="14" w:name="_GoBack"/>
      <w:bookmarkEnd w:id="14"/>
    </w:p>
    <w:p>
      <w:pPr>
        <w:numPr>
          <w:ilvl w:val="0"/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《服务数据分析报告》</w:t>
      </w:r>
    </w:p>
    <w:sectPr>
      <w:headerReference w:type="default" r:id="rId4"/>
      <w:pgSz w:w="11906" w:h="16838"/>
      <w:pgMar w:top="1440" w:right="1800" w:bottom="1440" w:left="1800" w:header="851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ACDDB59"/>
    <w:multiLevelType w:val="singleLevel"/>
    <w:tmpl w:val="AACDDB5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C7EFC4B9"/>
    <w:multiLevelType w:val="singleLevel"/>
    <w:tmpl w:val="C7EFC4B9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3">
    <w:nsid w:val="E618F45D"/>
    <w:multiLevelType w:val="singleLevel"/>
    <w:tmpl w:val="E618F45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024675B6"/>
    <w:multiLevelType w:val="singleLevel"/>
    <w:tmpl w:val="024675B6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5">
    <w:nsid w:val="04A90272"/>
    <w:multiLevelType w:val="multilevel"/>
    <w:tmpl w:val="04A90272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  <w:lvl w:ilvl="1">
      <w:start w:val="1"/>
      <w:numFmt w:val="decimalEnclosedCircleChinese"/>
      <w:lvlText w:val="%2"/>
      <w:lvlJc w:val="left"/>
      <w:pPr>
        <w:tabs>
          <w:tab w:val="left" w:pos="1260"/>
        </w:tabs>
        <w:ind w:left="1260" w:hanging="420" w:leftChars="0" w:firstLineChars="0"/>
      </w:pPr>
      <w:rPr>
        <w:rFonts w:hint="default"/>
      </w:rPr>
    </w:lvl>
    <w:lvl w:ilvl="2">
      <w:start w:val="1"/>
      <w:numFmt w:val="decimal"/>
      <w:lvlText w:val="%3)"/>
      <w:lvlJc w:val="left"/>
      <w:pPr>
        <w:tabs>
          <w:tab w:val="left" w:pos="1680"/>
        </w:tabs>
        <w:ind w:left="1680" w:hanging="420" w:leftChars="0" w:firstLineChars="0"/>
      </w:pPr>
      <w:rPr>
        <w:rFonts w:hint="default"/>
      </w:rPr>
    </w:lvl>
    <w:lvl w:ilvl="3">
      <w:start w:val="1"/>
      <w:numFmt w:val="lowerLetter"/>
      <w:lvlText w:val="%4."/>
      <w:lvlJc w:val="left"/>
      <w:pPr>
        <w:tabs>
          <w:tab w:val="left" w:pos="2100"/>
        </w:tabs>
        <w:ind w:left="2100" w:hanging="420" w:leftChars="0" w:firstLineChars="0"/>
      </w:pPr>
      <w:rPr>
        <w:rFonts w:hint="default"/>
      </w:rPr>
    </w:lvl>
    <w:lvl w:ilvl="4">
      <w:start w:val="1"/>
      <w:numFmt w:val="lowerLetter"/>
      <w:lvlText w:val="%5)"/>
      <w:lvlJc w:val="left"/>
      <w:pPr>
        <w:tabs>
          <w:tab w:val="left" w:pos="2520"/>
        </w:tabs>
        <w:ind w:left="2520" w:hanging="420" w:leftChars="0" w:firstLineChars="0"/>
      </w:pPr>
      <w:rPr>
        <w:rFonts w:hint="default"/>
      </w:rPr>
    </w:lvl>
    <w:lvl w:ilvl="5">
      <w:start w:val="1"/>
      <w:numFmt w:val="lowerRoman"/>
      <w:lvlText w:val="%6."/>
      <w:lvlJc w:val="left"/>
      <w:pPr>
        <w:tabs>
          <w:tab w:val="left" w:pos="2940"/>
        </w:tabs>
        <w:ind w:left="2940" w:hanging="420" w:leftChars="0" w:firstLineChars="0"/>
      </w:pPr>
      <w:rPr>
        <w:rFonts w:hint="default"/>
      </w:rPr>
    </w:lvl>
    <w:lvl w:ilvl="6">
      <w:start w:val="1"/>
      <w:numFmt w:val="lowerRoman"/>
      <w:lvlText w:val="%7)"/>
      <w:lvlJc w:val="left"/>
      <w:pPr>
        <w:tabs>
          <w:tab w:val="left" w:pos="3360"/>
        </w:tabs>
        <w:ind w:left="3360" w:hanging="420" w:leftChars="0" w:firstLineChars="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left" w:pos="3780"/>
        </w:tabs>
        <w:ind w:left="3780" w:hanging="420" w:leftChars="0" w:firstLineChars="0"/>
      </w:pPr>
      <w:rPr>
        <w:rFonts w:hint="default"/>
      </w:rPr>
    </w:lvl>
    <w:lvl w:ilvl="8">
      <w:start w:val="1"/>
      <w:numFmt w:val="lowerLetter"/>
      <w:lvlText w:val="%9)"/>
      <w:lvlJc w:val="left"/>
      <w:pPr>
        <w:tabs>
          <w:tab w:val="left" w:pos="4200"/>
        </w:tabs>
        <w:ind w:left="4200" w:hanging="420" w:leftChars="0" w:firstLineChars="0"/>
      </w:pPr>
      <w:rPr>
        <w:rFonts w:hint="default"/>
      </w:rPr>
    </w:lvl>
  </w:abstractNum>
  <w:abstractNum w:abstractNumId="6">
    <w:nsid w:val="083807CC"/>
    <w:multiLevelType w:val="singleLevel"/>
    <w:tmpl w:val="083807CC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083F5C9B"/>
    <w:multiLevelType w:val="singleLevel"/>
    <w:tmpl w:val="083F5C9B"/>
    <w:lvl w:ilvl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abstractNum w:abstractNumId="8">
    <w:nsid w:val="308E1341"/>
    <w:multiLevelType w:val="singleLevel"/>
    <w:tmpl w:val="308E134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9">
    <w:nsid w:val="329AB120"/>
    <w:multiLevelType w:val="singleLevel"/>
    <w:tmpl w:val="329AB120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0">
    <w:nsid w:val="5344E574"/>
    <w:multiLevelType w:val="singleLevel"/>
    <w:tmpl w:val="5344E574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11">
    <w:nsid w:val="75D45A14"/>
    <w:multiLevelType w:val="singleLevel"/>
    <w:tmpl w:val="75D45A1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2">
    <w:nsid w:val="7EB18A29"/>
    <w:multiLevelType w:val="singleLevel"/>
    <w:tmpl w:val="7EB18A29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num w:numId="1">
    <w:abstractNumId w:val="0"/>
  </w:num>
  <w:num w:numId="2">
    <w:abstractNumId w:val="8"/>
  </w:num>
  <w:num w:numId="3">
    <w:abstractNumId w:val="3"/>
  </w:num>
  <w:num w:numId="4">
    <w:abstractNumId w:val="11"/>
  </w:num>
  <w:num w:numId="5">
    <w:abstractNumId w:val="6"/>
  </w:num>
  <w:num w:numId="6">
    <w:abstractNumId w:val="12"/>
  </w:num>
  <w:num w:numId="7">
    <w:abstractNumId w:val="2"/>
  </w:num>
  <w:num w:numId="8">
    <w:abstractNumId w:val="9"/>
  </w:num>
  <w:num w:numId="9">
    <w:abstractNumId w:val="10"/>
  </w:num>
  <w:num w:numId="10">
    <w:abstractNumId w:val="1"/>
  </w:num>
  <w:num w:numId="11">
    <w:abstractNumId w:val="5"/>
  </w:num>
  <w:num w:numId="12">
    <w:abstractNumId w:val="7"/>
  </w:num>
  <w:num w:numId="1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No Spacing" w:semiHidden="0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styleId="NoSpacing">
    <w:name w:val="No Spacing"/>
    <w:uiPriority w:val="99"/>
    <w:qFormat/>
    <w:pPr>
      <w:adjustRightInd w:val="0"/>
      <w:snapToGrid w:val="0"/>
    </w:pPr>
    <w:rPr>
      <w:rFonts w:ascii="Times New Roman" w:eastAsia="宋体" w:hAnsi="Times New Roman" w:cs="Times New Roman"/>
      <w:sz w:val="24"/>
      <w:szCs w:val="22"/>
      <w:lang w:val="en-US" w:eastAsia="zh-CN" w:bidi="ar-SA"/>
    </w:r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1">
    <w:name w:val="柴_标题1"/>
    <w:basedOn w:val="Heading1"/>
    <w:next w:val="a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0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a1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2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header" Target="header1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1047</Words>
  <Characters>1134</Characters>
  <Application>Microsoft Office Word</Application>
  <DocSecurity>0</DocSecurity>
  <Lines>0</Lines>
  <Paragraphs>0</Paragraphs>
  <ScaleCrop>false</ScaleCrop>
  <Company/>
  <LinksUpToDate>false</LinksUpToDate>
  <CharactersWithSpaces>1189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18442</dc:creator>
  <cp:lastModifiedBy>nancy杨茜</cp:lastModifiedBy>
  <cp:revision>0</cp:revision>
  <dcterms:created xsi:type="dcterms:W3CDTF">2025-08-03T07:55:00Z</dcterms:created>
  <dcterms:modified xsi:type="dcterms:W3CDTF">2026-01-07T06:03:31Z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8178A8AF70684A7D9FAAE4F331428A1A_12</vt:lpwstr>
  </property>
  <property fmtid="{D5CDD505-2E9C-101B-9397-08002B2CF9AE}" pid="3" name="KSOProductBuildVer">
    <vt:lpwstr>2052-12.1.0.24034</vt:lpwstr>
  </property>
  <property fmtid="{D5CDD505-2E9C-101B-9397-08002B2CF9AE}" pid="4" name="KSOTemplateDocerSaveRecord">
    <vt:lpwstr>eyJoZGlkIjoiYzZkNzQ4ZWFiZmQ4NTRhOWRkZTk3YTMwMjlmMmZhYmUiLCJ1c2VySWQiOiI0Mzg5MjI4MjYifQ==</vt:lpwstr>
  </property>
</Properties>
</file>