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bidi w:val="0"/>
      </w:pPr>
      <w:bookmarkStart w:id="0" w:name="_Toc28766"/>
    </w:p>
    <w:p>
      <w:pPr>
        <w:pStyle w:val="a1"/>
        <w:bidi w:val="0"/>
      </w:pPr>
    </w:p>
    <w:p>
      <w:pPr>
        <w:pStyle w:val="a1"/>
        <w:bidi w:val="0"/>
      </w:pPr>
      <w:r>
        <w:t>服务台应用提升情况说明</w:t>
      </w:r>
      <w:bookmarkEnd w:id="0"/>
    </w:p>
    <w:p>
      <w:pPr>
        <w:pStyle w:val="a2"/>
        <w:bidi w:val="0"/>
      </w:pPr>
      <w:bookmarkStart w:id="1" w:name="_Toc13503"/>
      <w:r>
        <w:t>中达丰集团有限公司</w:t>
      </w:r>
      <w:bookmarkEnd w:id="1"/>
    </w:p>
    <w:p>
      <w:pPr>
        <w:spacing w:before="224" w:line="220" w:lineRule="auto"/>
        <w:ind w:left="2808"/>
        <w:rPr>
          <w:rFonts w:ascii="宋体" w:eastAsia="宋体" w:hAnsi="宋体" w:cs="宋体"/>
          <w:sz w:val="36"/>
          <w:szCs w:val="36"/>
        </w:rPr>
      </w:pPr>
      <w:r>
        <w:rPr>
          <w:rFonts w:ascii="宋体" w:eastAsia="宋体" w:hAnsi="宋体" w:cs="宋体"/>
          <w:spacing w:val="-10"/>
          <w:sz w:val="36"/>
          <w:szCs w:val="36"/>
        </w:rPr>
        <w:t>2025年</w:t>
      </w:r>
      <w:r>
        <w:rPr>
          <w:rFonts w:ascii="宋体" w:eastAsia="宋体" w:hAnsi="宋体" w:cs="宋体" w:hint="eastAsia"/>
          <w:spacing w:val="-10"/>
          <w:sz w:val="36"/>
          <w:szCs w:val="36"/>
          <w:lang w:val="en-US" w:eastAsia="zh-CN"/>
        </w:rPr>
        <w:t>10</w:t>
      </w:r>
      <w:r>
        <w:rPr>
          <w:rFonts w:ascii="宋体" w:eastAsia="宋体" w:hAnsi="宋体" w:cs="宋体"/>
          <w:spacing w:val="-10"/>
          <w:sz w:val="36"/>
          <w:szCs w:val="36"/>
        </w:rPr>
        <w:t>月20日</w:t>
      </w:r>
    </w:p>
    <w:p>
      <w:pPr>
        <w:spacing w:line="220" w:lineRule="auto"/>
        <w:rPr>
          <w:rFonts w:ascii="宋体" w:eastAsia="宋体" w:hAnsi="宋体" w:cs="宋体"/>
          <w:sz w:val="36"/>
          <w:szCs w:val="36"/>
        </w:rPr>
        <w:sectPr>
          <w:headerReference w:type="default" r:id="rId5"/>
          <w:pgSz w:w="11906" w:h="16839"/>
          <w:pgMar w:top="1097" w:right="1767" w:bottom="0" w:left="1768" w:header="1082" w:footer="0" w:gutter="0"/>
          <w:cols w:num="1" w:space="720"/>
        </w:sectPr>
      </w:pPr>
    </w:p>
    <w:p>
      <w:pPr>
        <w:spacing w:before="91" w:line="220" w:lineRule="auto"/>
        <w:ind w:left="3778"/>
        <w:outlineLvl w:val="0"/>
        <w:rPr>
          <w:rFonts w:ascii="宋体" w:eastAsia="宋体" w:hAnsi="宋体" w:cs="宋体"/>
          <w:sz w:val="28"/>
          <w:szCs w:val="28"/>
        </w:rPr>
      </w:pPr>
      <w:bookmarkStart w:id="2" w:name="_Toc9532"/>
      <w:r>
        <w:rPr>
          <w:rFonts w:ascii="宋体" w:eastAsia="宋体" w:hAnsi="宋体" w:cs="宋体"/>
          <w:spacing w:val="-3"/>
          <w:sz w:val="28"/>
          <w:szCs w:val="28"/>
        </w:rPr>
        <w:t>文档信息</w:t>
      </w:r>
      <w:bookmarkEnd w:id="2"/>
    </w:p>
    <w:tbl>
      <w:tblPr>
        <w:tblStyle w:val="TableNormal0"/>
        <w:tblW w:w="8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2"/>
        <w:gridCol w:w="1557"/>
        <w:gridCol w:w="2121"/>
        <w:gridCol w:w="1698"/>
        <w:gridCol w:w="1561"/>
      </w:tblGrid>
      <w:tr>
        <w:tblPrEx>
          <w:tblW w:w="8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2" w:type="dxa"/>
          </w:tcPr>
          <w:p>
            <w:pPr>
              <w:pStyle w:val="TableText"/>
              <w:spacing w:before="139" w:line="220" w:lineRule="auto"/>
              <w:ind w:left="224"/>
            </w:pPr>
            <w:r>
              <w:rPr>
                <w:spacing w:val="-2"/>
              </w:rPr>
              <w:t>文档名称编号</w:t>
            </w:r>
          </w:p>
        </w:tc>
        <w:tc>
          <w:tcPr>
            <w:tcW w:w="6937" w:type="dxa"/>
            <w:gridSpan w:val="4"/>
          </w:tcPr>
          <w:p>
            <w:pPr>
              <w:pStyle w:val="TableText"/>
              <w:spacing w:before="139" w:line="220" w:lineRule="auto"/>
              <w:ind w:left="108"/>
            </w:pPr>
            <w:r>
              <w:rPr>
                <w:spacing w:val="-1"/>
              </w:rPr>
              <w:t>服务台应用提升情况说明</w:t>
            </w:r>
          </w:p>
        </w:tc>
      </w:tr>
      <w:tr>
        <w:tblPrEx>
          <w:tblW w:w="8639" w:type="dxa"/>
          <w:tblInd w:w="5" w:type="dxa"/>
          <w:tblLayout w:type="fixed"/>
          <w:tblCellMar>
            <w:top w:w="0" w:type="dxa"/>
            <w:left w:w="0" w:type="dxa"/>
            <w:bottom w:w="0" w:type="dxa"/>
            <w:right w:w="0" w:type="dxa"/>
          </w:tblCellMar>
        </w:tblPrEx>
        <w:trPr>
          <w:trHeight w:val="606"/>
        </w:trPr>
        <w:tc>
          <w:tcPr>
            <w:tcW w:w="1702" w:type="dxa"/>
          </w:tcPr>
          <w:p>
            <w:pPr>
              <w:pStyle w:val="TableText"/>
              <w:spacing w:before="136" w:line="220" w:lineRule="auto"/>
              <w:ind w:left="434"/>
            </w:pPr>
            <w:r>
              <w:rPr>
                <w:spacing w:val="-2"/>
              </w:rPr>
              <w:t>编制单位</w:t>
            </w:r>
          </w:p>
        </w:tc>
        <w:tc>
          <w:tcPr>
            <w:tcW w:w="6937" w:type="dxa"/>
            <w:gridSpan w:val="4"/>
          </w:tcPr>
          <w:p>
            <w:pPr>
              <w:pStyle w:val="TableText"/>
              <w:spacing w:before="137" w:line="219" w:lineRule="auto"/>
              <w:ind w:left="108"/>
            </w:pPr>
            <w:r>
              <w:rPr>
                <w:spacing w:val="-1"/>
              </w:rPr>
              <w:t>中达丰集团有限公司</w:t>
            </w:r>
          </w:p>
        </w:tc>
      </w:tr>
      <w:tr>
        <w:tblPrEx>
          <w:tblW w:w="8639" w:type="dxa"/>
          <w:tblInd w:w="5" w:type="dxa"/>
          <w:tblLayout w:type="fixed"/>
          <w:tblCellMar>
            <w:top w:w="0" w:type="dxa"/>
            <w:left w:w="0" w:type="dxa"/>
            <w:bottom w:w="0" w:type="dxa"/>
            <w:right w:w="0" w:type="dxa"/>
          </w:tblCellMar>
        </w:tblPrEx>
        <w:trPr>
          <w:trHeight w:val="606"/>
        </w:trPr>
        <w:tc>
          <w:tcPr>
            <w:tcW w:w="1702" w:type="dxa"/>
          </w:tcPr>
          <w:p>
            <w:pPr>
              <w:pStyle w:val="TableText"/>
              <w:spacing w:before="139" w:line="219" w:lineRule="auto"/>
              <w:ind w:left="434"/>
            </w:pPr>
            <w:r>
              <w:rPr>
                <w:spacing w:val="-2"/>
              </w:rPr>
              <w:t>文档版本</w:t>
            </w:r>
          </w:p>
        </w:tc>
        <w:tc>
          <w:tcPr>
            <w:tcW w:w="1557" w:type="dxa"/>
          </w:tcPr>
          <w:p>
            <w:pPr>
              <w:pStyle w:val="TableText"/>
              <w:spacing w:before="139" w:line="219" w:lineRule="auto"/>
              <w:ind w:left="360"/>
            </w:pPr>
            <w:r>
              <w:rPr>
                <w:spacing w:val="-2"/>
              </w:rPr>
              <w:t>版本日期</w:t>
            </w:r>
          </w:p>
        </w:tc>
        <w:tc>
          <w:tcPr>
            <w:tcW w:w="2121" w:type="dxa"/>
          </w:tcPr>
          <w:p>
            <w:pPr>
              <w:pStyle w:val="TableText"/>
              <w:spacing w:before="139" w:line="219" w:lineRule="auto"/>
              <w:ind w:left="645"/>
            </w:pPr>
            <w:r>
              <w:rPr>
                <w:spacing w:val="-2"/>
              </w:rPr>
              <w:t>版本说明</w:t>
            </w:r>
          </w:p>
        </w:tc>
        <w:tc>
          <w:tcPr>
            <w:tcW w:w="1698" w:type="dxa"/>
          </w:tcPr>
          <w:p>
            <w:pPr>
              <w:pStyle w:val="TableText"/>
              <w:spacing w:before="139" w:line="220" w:lineRule="auto"/>
              <w:ind w:left="593"/>
            </w:pPr>
            <w:r>
              <w:rPr>
                <w:spacing w:val="-5"/>
              </w:rPr>
              <w:t>作</w:t>
            </w:r>
            <w:r>
              <w:rPr>
                <w:spacing w:val="9"/>
              </w:rPr>
              <w:t xml:space="preserve"> </w:t>
            </w:r>
            <w:r>
              <w:rPr>
                <w:spacing w:val="-5"/>
              </w:rPr>
              <w:t>者</w:t>
            </w:r>
          </w:p>
        </w:tc>
        <w:tc>
          <w:tcPr>
            <w:tcW w:w="1561" w:type="dxa"/>
          </w:tcPr>
          <w:p>
            <w:pPr>
              <w:pStyle w:val="TableText"/>
              <w:spacing w:before="139" w:line="220" w:lineRule="auto"/>
              <w:ind w:left="586"/>
            </w:pPr>
            <w:r>
              <w:rPr>
                <w:spacing w:val="-5"/>
              </w:rPr>
              <w:t>审核</w:t>
            </w:r>
          </w:p>
        </w:tc>
      </w:tr>
      <w:tr>
        <w:tblPrEx>
          <w:tblW w:w="8639" w:type="dxa"/>
          <w:tblInd w:w="5" w:type="dxa"/>
          <w:tblLayout w:type="fixed"/>
          <w:tblCellMar>
            <w:top w:w="0" w:type="dxa"/>
            <w:left w:w="0" w:type="dxa"/>
            <w:bottom w:w="0" w:type="dxa"/>
            <w:right w:w="0" w:type="dxa"/>
          </w:tblCellMar>
        </w:tblPrEx>
        <w:trPr>
          <w:trHeight w:val="474"/>
        </w:trPr>
        <w:tc>
          <w:tcPr>
            <w:tcW w:w="1702" w:type="dxa"/>
          </w:tcPr>
          <w:p>
            <w:pPr>
              <w:pStyle w:val="TableText"/>
              <w:spacing w:before="104" w:line="239" w:lineRule="auto"/>
              <w:ind w:left="637"/>
            </w:pPr>
            <w:r>
              <w:rPr>
                <w:spacing w:val="-1"/>
              </w:rPr>
              <w:t>V1.0</w:t>
            </w:r>
          </w:p>
        </w:tc>
        <w:tc>
          <w:tcPr>
            <w:tcW w:w="1557" w:type="dxa"/>
          </w:tcPr>
          <w:p>
            <w:pPr>
              <w:pStyle w:val="TableText"/>
              <w:spacing w:before="104"/>
              <w:ind w:left="362"/>
              <w:rPr>
                <w:rFonts w:eastAsia="宋体" w:hint="eastAsia"/>
                <w:lang w:val="en-US" w:eastAsia="zh-CN"/>
              </w:rPr>
            </w:pPr>
            <w:r>
              <w:rPr>
                <w:spacing w:val="-2"/>
              </w:rPr>
              <w:t>2025-</w:t>
            </w:r>
            <w:r>
              <w:rPr>
                <w:rFonts w:hint="eastAsia"/>
                <w:spacing w:val="-2"/>
                <w:lang w:val="en-US" w:eastAsia="zh-CN"/>
              </w:rPr>
              <w:t>10</w:t>
            </w:r>
            <w:r>
              <w:rPr>
                <w:spacing w:val="-2"/>
              </w:rPr>
              <w:t>-2</w:t>
            </w:r>
            <w:r>
              <w:rPr>
                <w:rFonts w:hint="eastAsia"/>
                <w:spacing w:val="-2"/>
                <w:lang w:val="en-US" w:eastAsia="zh-CN"/>
              </w:rPr>
              <w:t>0</w:t>
            </w:r>
          </w:p>
        </w:tc>
        <w:tc>
          <w:tcPr>
            <w:tcW w:w="2121" w:type="dxa"/>
          </w:tcPr>
          <w:p>
            <w:pPr>
              <w:pStyle w:val="TableText"/>
              <w:spacing w:before="74" w:line="219" w:lineRule="auto"/>
              <w:ind w:left="647"/>
            </w:pPr>
            <w:r>
              <w:rPr>
                <w:spacing w:val="-3"/>
              </w:rPr>
              <w:t>发布版本</w:t>
            </w:r>
          </w:p>
        </w:tc>
        <w:tc>
          <w:tcPr>
            <w:tcW w:w="1698" w:type="dxa"/>
          </w:tcPr>
          <w:p>
            <w:pPr>
              <w:pStyle w:val="TableText"/>
              <w:spacing w:before="75" w:line="220" w:lineRule="auto"/>
              <w:ind w:left="550"/>
              <w:rPr>
                <w:rFonts w:eastAsia="宋体" w:hint="eastAsia"/>
                <w:lang w:val="en-US" w:eastAsia="zh-CN"/>
              </w:rPr>
            </w:pPr>
            <w:r>
              <w:rPr>
                <w:rFonts w:hint="eastAsia"/>
                <w:lang w:val="en-US" w:eastAsia="zh-CN"/>
              </w:rPr>
              <w:t>肖龙莽</w:t>
            </w:r>
          </w:p>
        </w:tc>
        <w:tc>
          <w:tcPr>
            <w:tcW w:w="1561" w:type="dxa"/>
          </w:tcPr>
          <w:p>
            <w:pPr>
              <w:pStyle w:val="TableText"/>
              <w:spacing w:before="74" w:line="220" w:lineRule="auto"/>
              <w:ind w:left="476"/>
            </w:pPr>
            <w:r>
              <w:rPr>
                <w:spacing w:val="-3"/>
              </w:rPr>
              <w:t>吴向阳</w:t>
            </w:r>
          </w:p>
        </w:tc>
      </w:tr>
      <w:tr>
        <w:tblPrEx>
          <w:tblW w:w="8639" w:type="dxa"/>
          <w:tblInd w:w="5" w:type="dxa"/>
          <w:tblLayout w:type="fixed"/>
          <w:tblCellMar>
            <w:top w:w="0" w:type="dxa"/>
            <w:left w:w="0" w:type="dxa"/>
            <w:bottom w:w="0" w:type="dxa"/>
            <w:right w:w="0" w:type="dxa"/>
          </w:tblCellMar>
        </w:tblPrEx>
        <w:trPr>
          <w:trHeight w:val="474"/>
        </w:trPr>
        <w:tc>
          <w:tcPr>
            <w:tcW w:w="1702" w:type="dxa"/>
          </w:tcPr>
          <w:p>
            <w:pPr>
              <w:rPr>
                <w:rFonts w:ascii="Arial"/>
                <w:sz w:val="21"/>
              </w:rPr>
            </w:pPr>
          </w:p>
        </w:tc>
        <w:tc>
          <w:tcPr>
            <w:tcW w:w="1557" w:type="dxa"/>
          </w:tcPr>
          <w:p>
            <w:pPr>
              <w:rPr>
                <w:rFonts w:ascii="Arial"/>
                <w:sz w:val="21"/>
              </w:rPr>
            </w:pPr>
          </w:p>
        </w:tc>
        <w:tc>
          <w:tcPr>
            <w:tcW w:w="2121" w:type="dxa"/>
          </w:tcPr>
          <w:p>
            <w:pPr>
              <w:rPr>
                <w:rFonts w:ascii="Arial"/>
                <w:sz w:val="21"/>
              </w:rPr>
            </w:pPr>
          </w:p>
        </w:tc>
        <w:tc>
          <w:tcPr>
            <w:tcW w:w="1698" w:type="dxa"/>
          </w:tcPr>
          <w:p>
            <w:pPr>
              <w:rPr>
                <w:rFonts w:ascii="Arial"/>
                <w:sz w:val="21"/>
              </w:rPr>
            </w:pPr>
          </w:p>
        </w:tc>
        <w:tc>
          <w:tcPr>
            <w:tcW w:w="1561" w:type="dxa"/>
          </w:tcPr>
          <w:p>
            <w:pPr>
              <w:rPr>
                <w:rFonts w:ascii="Arial"/>
                <w:sz w:val="21"/>
              </w:rPr>
            </w:pPr>
          </w:p>
        </w:tc>
      </w:tr>
      <w:tr>
        <w:tblPrEx>
          <w:tblW w:w="8639" w:type="dxa"/>
          <w:tblInd w:w="5" w:type="dxa"/>
          <w:tblLayout w:type="fixed"/>
          <w:tblCellMar>
            <w:top w:w="0" w:type="dxa"/>
            <w:left w:w="0" w:type="dxa"/>
            <w:bottom w:w="0" w:type="dxa"/>
            <w:right w:w="0" w:type="dxa"/>
          </w:tblCellMar>
        </w:tblPrEx>
        <w:trPr>
          <w:trHeight w:val="528"/>
        </w:trPr>
        <w:tc>
          <w:tcPr>
            <w:tcW w:w="1702" w:type="dxa"/>
          </w:tcPr>
          <w:p>
            <w:pPr>
              <w:rPr>
                <w:rFonts w:ascii="Arial"/>
                <w:sz w:val="21"/>
              </w:rPr>
            </w:pPr>
          </w:p>
        </w:tc>
        <w:tc>
          <w:tcPr>
            <w:tcW w:w="1557" w:type="dxa"/>
          </w:tcPr>
          <w:p>
            <w:pPr>
              <w:rPr>
                <w:rFonts w:ascii="Arial"/>
                <w:sz w:val="21"/>
              </w:rPr>
            </w:pPr>
          </w:p>
        </w:tc>
        <w:tc>
          <w:tcPr>
            <w:tcW w:w="2121" w:type="dxa"/>
          </w:tcPr>
          <w:p>
            <w:pPr>
              <w:rPr>
                <w:rFonts w:ascii="Arial"/>
                <w:sz w:val="21"/>
              </w:rPr>
            </w:pPr>
          </w:p>
        </w:tc>
        <w:tc>
          <w:tcPr>
            <w:tcW w:w="1698" w:type="dxa"/>
          </w:tcPr>
          <w:p>
            <w:pPr>
              <w:rPr>
                <w:rFonts w:ascii="Arial"/>
                <w:sz w:val="21"/>
              </w:rPr>
            </w:pPr>
          </w:p>
        </w:tc>
        <w:tc>
          <w:tcPr>
            <w:tcW w:w="1561" w:type="dxa"/>
          </w:tcPr>
          <w:p>
            <w:pPr>
              <w:rPr>
                <w:rFonts w:ascii="Arial"/>
                <w:sz w:val="21"/>
              </w:rPr>
            </w:pPr>
          </w:p>
        </w:tc>
      </w:tr>
      <w:tr>
        <w:tblPrEx>
          <w:tblW w:w="8639" w:type="dxa"/>
          <w:tblInd w:w="5" w:type="dxa"/>
          <w:tblLayout w:type="fixed"/>
          <w:tblCellMar>
            <w:top w:w="0" w:type="dxa"/>
            <w:left w:w="0" w:type="dxa"/>
            <w:bottom w:w="0" w:type="dxa"/>
            <w:right w:w="0" w:type="dxa"/>
          </w:tblCellMar>
        </w:tblPrEx>
        <w:trPr>
          <w:trHeight w:val="589"/>
        </w:trPr>
        <w:tc>
          <w:tcPr>
            <w:tcW w:w="1702" w:type="dxa"/>
          </w:tcPr>
          <w:p>
            <w:pPr>
              <w:rPr>
                <w:rFonts w:ascii="Arial"/>
                <w:sz w:val="21"/>
              </w:rPr>
            </w:pPr>
          </w:p>
        </w:tc>
        <w:tc>
          <w:tcPr>
            <w:tcW w:w="1557" w:type="dxa"/>
          </w:tcPr>
          <w:p>
            <w:pPr>
              <w:rPr>
                <w:rFonts w:ascii="Arial"/>
                <w:sz w:val="21"/>
              </w:rPr>
            </w:pPr>
          </w:p>
        </w:tc>
        <w:tc>
          <w:tcPr>
            <w:tcW w:w="2121" w:type="dxa"/>
          </w:tcPr>
          <w:p>
            <w:pPr>
              <w:rPr>
                <w:rFonts w:ascii="Arial"/>
                <w:sz w:val="21"/>
              </w:rPr>
            </w:pPr>
          </w:p>
        </w:tc>
        <w:tc>
          <w:tcPr>
            <w:tcW w:w="1698" w:type="dxa"/>
          </w:tcPr>
          <w:p>
            <w:pPr>
              <w:rPr>
                <w:rFonts w:ascii="Arial"/>
                <w:sz w:val="21"/>
              </w:rPr>
            </w:pPr>
          </w:p>
        </w:tc>
        <w:tc>
          <w:tcPr>
            <w:tcW w:w="1561" w:type="dxa"/>
          </w:tcPr>
          <w:p>
            <w:pPr>
              <w:rPr>
                <w:rFonts w:ascii="Arial"/>
                <w:sz w:val="21"/>
              </w:rPr>
            </w:pPr>
          </w:p>
        </w:tc>
      </w:tr>
    </w:tbl>
    <w:p>
      <w:pPr>
        <w:pStyle w:val="BodyText"/>
      </w:pPr>
    </w:p>
    <w:p>
      <w:pPr>
        <w:sectPr>
          <w:headerReference w:type="default" r:id="rId6"/>
          <w:pgSz w:w="11906" w:h="16839"/>
          <w:pgMar w:top="1097" w:right="1627" w:bottom="0" w:left="1628" w:header="1082" w:footer="0" w:gutter="0"/>
          <w:cols w:num="1" w:space="720"/>
        </w:sectPr>
      </w:pPr>
    </w:p>
    <w:sdt>
      <w:sdtPr>
        <w:rPr>
          <w:rFonts w:ascii="宋体" w:eastAsia="宋体" w:hAnsi="宋体" w:cs="Arial"/>
          <w:snapToGrid w:val="0"/>
          <w:color w:val="000000"/>
          <w:kern w:val="0"/>
          <w:sz w:val="21"/>
          <w:szCs w:val="21"/>
          <w:lang w:val="en-US" w:eastAsia="en-US" w:bidi="ar-SA"/>
        </w:rPr>
        <w:id w:val="147467022"/>
        <w:docPartObj>
          <w:docPartGallery w:val="Table of Contents"/>
          <w:docPartUnique/>
        </w:docPartObj>
      </w:sdtPr>
      <w:sdtEndPr>
        <w:rPr>
          <w:rFonts w:ascii="Cambria" w:eastAsia="Cambria" w:hAnsi="Cambria" w:cs="Cambria"/>
          <w:snapToGrid w:val="0"/>
          <w:color w:val="000000"/>
          <w:kern w:val="0"/>
          <w:sz w:val="21"/>
          <w:szCs w:val="24"/>
          <w:lang w:val="en-US" w:eastAsia="en-US" w:bidi="ar-SA"/>
        </w:rPr>
      </w:sdtEndPr>
      <w:sdtContent>
        <w:p>
          <w:pPr>
            <w:spacing w:before="0" w:beforeLines="0" w:after="0" w:afterLines="0" w:line="240" w:lineRule="auto"/>
            <w:ind w:left="0" w:right="0" w:firstLine="0" w:leftChars="0" w:rightChars="0" w:firstLineChars="0"/>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9724"/>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_Toc28766 </w:instrText>
          </w:r>
          <w:r>
            <w:rPr>
              <w:rFonts w:ascii="Microsoft JhengHei" w:eastAsia="Microsoft JhengHei" w:hAnsi="Microsoft JhengHei" w:cs="Microsoft JhengHei" w:hint="eastAsia"/>
              <w:szCs w:val="24"/>
            </w:rPr>
            <w:fldChar w:fldCharType="separate"/>
          </w:r>
          <w:r>
            <w:t>服务台应用提升情况说明</w:t>
          </w:r>
          <w:r>
            <w:tab/>
          </w:r>
          <w:r>
            <w:fldChar w:fldCharType="begin"/>
          </w:r>
          <w:r>
            <w:instrText xml:space="preserve"> PAGEREF _Toc28766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972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_Toc13503 </w:instrText>
          </w:r>
          <w:r>
            <w:rPr>
              <w:rFonts w:ascii="Microsoft JhengHei" w:eastAsia="Microsoft JhengHei" w:hAnsi="Microsoft JhengHei" w:cs="Microsoft JhengHei" w:hint="eastAsia"/>
              <w:szCs w:val="24"/>
            </w:rPr>
            <w:fldChar w:fldCharType="separate"/>
          </w:r>
          <w:r>
            <w:t>中达丰集团有限公司</w:t>
          </w:r>
          <w:r>
            <w:tab/>
          </w:r>
          <w:r>
            <w:fldChar w:fldCharType="begin"/>
          </w:r>
          <w:r>
            <w:instrText xml:space="preserve"> PAGEREF _Toc13503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972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_Toc9532 </w:instrText>
          </w:r>
          <w:r>
            <w:rPr>
              <w:rFonts w:ascii="Microsoft JhengHei" w:eastAsia="Microsoft JhengHei" w:hAnsi="Microsoft JhengHei" w:cs="Microsoft JhengHei" w:hint="eastAsia"/>
              <w:szCs w:val="24"/>
            </w:rPr>
            <w:fldChar w:fldCharType="separate"/>
          </w:r>
          <w:r>
            <w:rPr>
              <w:rFonts w:ascii="宋体" w:eastAsia="宋体" w:hAnsi="宋体" w:cs="宋体"/>
              <w:spacing w:val="-3"/>
              <w:szCs w:val="28"/>
            </w:rPr>
            <w:t>文档信息</w:t>
          </w:r>
          <w:r>
            <w:tab/>
          </w:r>
          <w:r>
            <w:fldChar w:fldCharType="begin"/>
          </w:r>
          <w:r>
            <w:instrText xml:space="preserve"> PAGEREF _Toc9532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972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_Toc11543 </w:instrText>
          </w:r>
          <w:r>
            <w:rPr>
              <w:rFonts w:ascii="Microsoft JhengHei" w:eastAsia="Microsoft JhengHei" w:hAnsi="Microsoft JhengHei" w:cs="Microsoft JhengHei" w:hint="eastAsia"/>
              <w:szCs w:val="24"/>
            </w:rPr>
            <w:fldChar w:fldCharType="separate"/>
          </w:r>
          <w:r>
            <w:rPr>
              <w:rFonts w:hint="default"/>
            </w:rPr>
            <w:t xml:space="preserve">1. </w:t>
          </w:r>
          <w:r>
            <w:t>服务台概况</w:t>
          </w:r>
          <w:r>
            <w:tab/>
          </w:r>
          <w:r>
            <w:fldChar w:fldCharType="begin"/>
          </w:r>
          <w:r>
            <w:instrText xml:space="preserve"> PAGEREF _Toc11543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972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_Toc4860 </w:instrText>
          </w:r>
          <w:r>
            <w:rPr>
              <w:rFonts w:ascii="Microsoft JhengHei" w:eastAsia="Microsoft JhengHei" w:hAnsi="Microsoft JhengHei" w:cs="Microsoft JhengHei" w:hint="eastAsia"/>
              <w:szCs w:val="24"/>
            </w:rPr>
            <w:fldChar w:fldCharType="separate"/>
          </w:r>
          <w:r>
            <w:rPr>
              <w:rFonts w:hint="default"/>
            </w:rPr>
            <w:t xml:space="preserve">2. </w:t>
          </w:r>
          <w:r>
            <w:t>严格要求服务台工作</w:t>
          </w:r>
          <w:r>
            <w:tab/>
          </w:r>
          <w:r>
            <w:fldChar w:fldCharType="begin"/>
          </w:r>
          <w:r>
            <w:instrText xml:space="preserve"> PAGEREF _Toc4860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2"/>
            <w:tabs>
              <w:tab w:val="right" w:leader="dot" w:pos="972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_Toc3229 </w:instrText>
          </w:r>
          <w:r>
            <w:rPr>
              <w:rFonts w:ascii="Microsoft JhengHei" w:eastAsia="Microsoft JhengHei" w:hAnsi="Microsoft JhengHei" w:cs="Microsoft JhengHei" w:hint="eastAsia"/>
              <w:szCs w:val="24"/>
            </w:rPr>
            <w:fldChar w:fldCharType="separate"/>
          </w:r>
          <w:r>
            <w:rPr>
              <w:rFonts w:hint="default"/>
            </w:rPr>
            <w:t xml:space="preserve">2.1. </w:t>
          </w:r>
          <w:r>
            <w:t>提升服务台工作效率</w:t>
          </w:r>
          <w:r>
            <w:tab/>
          </w:r>
          <w:r>
            <w:fldChar w:fldCharType="begin"/>
          </w:r>
          <w:r>
            <w:instrText xml:space="preserve"> PAGEREF _Toc3229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2"/>
            <w:tabs>
              <w:tab w:val="right" w:leader="dot" w:pos="972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_Toc29369 </w:instrText>
          </w:r>
          <w:r>
            <w:rPr>
              <w:rFonts w:ascii="Microsoft JhengHei" w:eastAsia="Microsoft JhengHei" w:hAnsi="Microsoft JhengHei" w:cs="Microsoft JhengHei" w:hint="eastAsia"/>
              <w:szCs w:val="24"/>
            </w:rPr>
            <w:fldChar w:fldCharType="separate"/>
          </w:r>
          <w:r>
            <w:rPr>
              <w:rFonts w:hint="default"/>
            </w:rPr>
            <w:t xml:space="preserve">2.2. </w:t>
          </w:r>
          <w:r>
            <w:t>服务台</w:t>
          </w:r>
          <w:r>
            <w:rPr>
              <w:rFonts w:hint="eastAsia"/>
              <w:lang w:val="en-US" w:eastAsia="zh-CN"/>
            </w:rPr>
            <w:t>指标完成情况</w:t>
          </w:r>
          <w:r>
            <w:tab/>
          </w:r>
          <w:r>
            <w:fldChar w:fldCharType="begin"/>
          </w:r>
          <w:r>
            <w:instrText xml:space="preserve"> PAGEREF _Toc29369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9724"/>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_Toc2201 </w:instrText>
          </w:r>
          <w:r>
            <w:rPr>
              <w:rFonts w:ascii="Microsoft JhengHei" w:eastAsia="Microsoft JhengHei" w:hAnsi="Microsoft JhengHei" w:cs="Microsoft JhengHei" w:hint="eastAsia"/>
              <w:szCs w:val="24"/>
            </w:rPr>
            <w:fldChar w:fldCharType="separate"/>
          </w:r>
          <w:r>
            <w:rPr>
              <w:rFonts w:hint="default"/>
              <w:lang w:val="en-US" w:eastAsia="zh-CN"/>
            </w:rPr>
            <w:t xml:space="preserve">3. </w:t>
          </w:r>
          <w:r>
            <w:rPr>
              <w:rFonts w:hint="eastAsia"/>
              <w:lang w:val="en-US" w:eastAsia="zh-CN"/>
            </w:rPr>
            <w:t>总结</w:t>
          </w:r>
          <w:r>
            <w:tab/>
          </w:r>
          <w:r>
            <w:fldChar w:fldCharType="begin"/>
          </w:r>
          <w:r>
            <w:instrText xml:space="preserve"> PAGEREF _Toc2201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spacing w:line="220" w:lineRule="auto"/>
            <w:rPr>
              <w:rFonts w:ascii="Cambria" w:eastAsia="Cambria" w:hAnsi="Cambria" w:cs="Cambria"/>
              <w:snapToGrid w:val="0"/>
              <w:color w:val="000000"/>
              <w:kern w:val="0"/>
              <w:sz w:val="21"/>
              <w:szCs w:val="24"/>
              <w:lang w:val="en-US" w:eastAsia="en-US" w:bidi="ar-SA"/>
            </w:rPr>
          </w:pPr>
          <w:r>
            <w:rPr>
              <w:rFonts w:ascii="Microsoft JhengHei" w:eastAsia="Microsoft JhengHei" w:hAnsi="Microsoft JhengHei" w:cs="Microsoft JhengHei" w:hint="eastAsia"/>
              <w:szCs w:val="24"/>
            </w:rPr>
            <w:fldChar w:fldCharType="end"/>
          </w:r>
        </w:p>
      </w:sdtContent>
    </w:sdt>
    <w:p>
      <w:pPr>
        <w:spacing w:line="220" w:lineRule="auto"/>
        <w:rPr>
          <w:rFonts w:ascii="Cambria" w:eastAsia="Cambria" w:hAnsi="Cambria" w:cs="Cambria"/>
          <w:snapToGrid w:val="0"/>
          <w:color w:val="000000"/>
          <w:kern w:val="0"/>
          <w:sz w:val="21"/>
          <w:szCs w:val="24"/>
          <w:lang w:val="en-US" w:eastAsia="en-US" w:bidi="ar-SA"/>
        </w:rPr>
        <w:sectPr>
          <w:headerReference w:type="default" r:id="rId7"/>
          <w:footerReference w:type="default" r:id="rId8"/>
          <w:pgSz w:w="11906" w:h="16839"/>
          <w:pgMar w:top="1660" w:right="1090" w:bottom="1157" w:left="1092" w:header="0" w:footer="990" w:gutter="0"/>
          <w:cols w:num="1" w:space="720"/>
        </w:sectPr>
      </w:pPr>
    </w:p>
    <w:p>
      <w:pPr>
        <w:pStyle w:val="1"/>
        <w:bidi w:val="0"/>
      </w:pPr>
      <w:bookmarkStart w:id="3" w:name="bookmark1"/>
      <w:bookmarkEnd w:id="3"/>
      <w:bookmarkStart w:id="4" w:name="_Toc11543"/>
      <w:r>
        <w:t>服务台概况</w:t>
      </w:r>
      <w:bookmarkEnd w:id="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服务台是与客户进行沟通和提供服务的重要途径之一，更是未来实现公司业绩成长的重要渠道。所以为了提高客服水平，特制定服务台运行服务管理制度，对所提供服务的产品或业务，交付和交付后的活动进行管理，将客户问题记录到《问题反馈单》，为客户提供专业化和规范化的服务。</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公司设置统一对外服务电话，设置专职客户专员担任服务台，实现5*8小时的电话接听，并在其他时间转接到服务台的手机，达到7*24小时的远程服务支持。</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服务台的基本功能是接收用户的各类使用问题请求，并在规定时间内为用户直接远程解决相关问题，如遇复杂问题则转交二线支持，同时还需跟踪解决情况并及时反馈以便最终解决用户问题。在此基础上，服务台还要对服务过程和结果进行记录，以便分析总结，提高问题解决速度，保证服务SLA的达成。</w:t>
      </w:r>
      <w:bookmarkStart w:id="5" w:name="_GoBack"/>
      <w:bookmarkEnd w:id="5"/>
    </w:p>
    <w:p>
      <w:pPr>
        <w:pStyle w:val="1"/>
        <w:bidi w:val="0"/>
      </w:pPr>
      <w:bookmarkStart w:id="6" w:name="_Toc4860"/>
      <w:r>
        <w:t>严格要求服务台工作</w:t>
      </w:r>
      <w:bookmarkEnd w:id="6"/>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通过严格执行《服务台操作手册》、《服务台管理制度》明确客服的操作职责，结合公司往年的运行情况，2025年服务台录入事件的完整性目标值要求需达到95%。</w:t>
      </w:r>
    </w:p>
    <w:p>
      <w:pPr>
        <w:pStyle w:val="2"/>
        <w:bidi w:val="0"/>
      </w:pPr>
      <w:bookmarkStart w:id="7" w:name="_Toc3229"/>
      <w:r>
        <w:t>提升服务台工作效率</w:t>
      </w:r>
      <w:bookmarkEnd w:id="7"/>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实现运维服务入口的统一，并达到服务台的标准化和规范化:所有运维请求，都需通过服务台，由服务台首先接单，然后统一分派人员解决问题，使服务台成为真正的唯一联系点，方便为客户提供服务。通过建立服务台规范和制度，明确服务台的首问责任制，并采取标准化用语和处理流程，大幅提升服务台的规范化和标准化，提升公司的服务形象。</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实现服务水平协议(SLA)的标准化管理:在运维项目立项或签订合同时，就与用户商定好各类故障和问题的不同级别和响应时间，根据服务级别来有序解决。在明确双方要求的基础上，大幅提高客户满意度，并为运维团队提供考核依据。</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随着运维项目的增加，客户需求与问题增多，为提升服务效率，增加坐席人员。实现流程、运维软件和人员的集成:服务台承担起监控管理和主动改善IT现状的职责，结合运维管理平台实现整个运维过程的可视化和可追溯管理。在运维管理平台的辅助下，结合服务台记录的数据和专家团队的经验可快速给出服务台运营报告，并提出改进建议，避免常见问题重复发生，主动防患运维风险，使运维服务变被动为主动改善。</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总体来说，服务台首先实现统一规范管理并同时处理大量的服务请求，避免了因找不到特定技术人员而耽误时间，降低运营成本;其次通过对服务台的管理，结合建立服务知识，明确服务人员绩效考核等。</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实现运维服务入口的统一，并达到服务台的标准化和规范化:所有运维请求，都需通过服务台，由服务台首先接单，然后统一分派人员解决问题，使服务台成为真正的唯一联系点，方便为客户提供服务。</w:t>
      </w:r>
    </w:p>
    <w:p>
      <w:pPr>
        <w:pStyle w:val="2"/>
        <w:bidi w:val="0"/>
      </w:pPr>
      <w:bookmarkStart w:id="8" w:name="_Toc29369"/>
      <w:r>
        <w:t>服务台</w:t>
      </w:r>
      <w:r>
        <w:rPr>
          <w:rFonts w:hint="eastAsia"/>
          <w:lang w:val="en-US" w:eastAsia="zh-CN"/>
        </w:rPr>
        <w:t>指标完成情况</w:t>
      </w:r>
      <w:bookmarkEnd w:id="8"/>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由于实现了服务台的标准化及制度化，并将运维人员分级管理，方便服务台人员对派单，因此服务台录入事件的完整率逐年提升，2025年设定的目标均为95%，经过2025年季度KPI跟踪，2025年第一、二和三季度服务台录入事件的完整率均达到100%。</w:t>
      </w:r>
    </w:p>
    <w:p>
      <w:pPr>
        <w:pStyle w:val="1"/>
        <w:bidi w:val="0"/>
        <w:rPr>
          <w:rFonts w:hint="eastAsia"/>
          <w:lang w:val="en-US" w:eastAsia="zh-CN"/>
        </w:rPr>
      </w:pPr>
      <w:bookmarkStart w:id="9" w:name="_Toc2201"/>
      <w:r>
        <w:rPr>
          <w:rFonts w:hint="eastAsia"/>
          <w:lang w:val="en-US" w:eastAsia="zh-CN"/>
        </w:rPr>
        <w:t>总结</w:t>
      </w:r>
      <w:bookmarkEnd w:id="9"/>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hAnsi="宋体" w:cs="宋体" w:hint="eastAsia"/>
          <w:sz w:val="28"/>
          <w:szCs w:val="28"/>
          <w:lang w:val="en-US" w:eastAsia="zh-CN"/>
        </w:rPr>
      </w:pPr>
      <w:r>
        <w:rPr>
          <w:rFonts w:ascii="宋体" w:hAnsi="宋体" w:cs="宋体" w:hint="eastAsia"/>
          <w:sz w:val="28"/>
          <w:szCs w:val="28"/>
          <w:lang w:val="en-US" w:eastAsia="zh-CN"/>
        </w:rPr>
        <w:t>截止2025年10月，公司服务台在 “服务台录入事件完整率”这一关键绩效指标上表现优异，不仅稳定达成年度目标，更实现了100%的完整记录，为运维服务的标准化、规范化管理奠定了坚实的数据基础，有效支撑了服务级别协议（SLA）的达成与客户满意度的提升。</w:t>
      </w:r>
    </w:p>
    <w:sectPr>
      <w:headerReference w:type="default" r:id="rId9"/>
      <w:footerReference w:type="default" r:id="rId10"/>
      <w:pgSz w:w="11906" w:h="16839"/>
      <w:pgMar w:top="1240" w:right="1305" w:bottom="885" w:left="1088" w:header="0" w:footer="72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8" w:lineRule="auto"/>
      <w:ind w:left="4822"/>
      <w:rPr>
        <w:rFonts w:ascii="Cambria" w:eastAsia="Cambria" w:hAnsi="Cambria" w:cs="Cambria"/>
        <w:sz w:val="18"/>
        <w:szCs w:val="18"/>
      </w:rPr>
    </w:pPr>
    <w:r>
      <w:rPr>
        <w:rFonts w:ascii="Cambria" w:eastAsia="Cambria" w:hAnsi="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7" w:lineRule="auto"/>
      <w:ind w:left="4827"/>
      <w:rPr>
        <w:rFonts w:ascii="Cambria" w:eastAsia="Cambria" w:hAnsi="Cambria" w:cs="Cambria"/>
        <w:sz w:val="18"/>
        <w:szCs w:val="18"/>
      </w:rPr>
    </w:pPr>
    <w:r>
      <w:rPr>
        <w:rFonts w:ascii="Cambria" w:eastAsia="Cambria" w:hAnsi="Cambria" w:cs="Cambria"/>
        <w:sz w:val="18"/>
        <w:szCs w:val="18"/>
      </w:rPr>
      <w:t>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52" w:lineRule="auto"/>
      <w:rPr>
        <w:sz w:val="2"/>
      </w:rPr>
    </w:pPr>
    <w:r>
      <w:pict>
        <v:shape id="_x0000_s4097" o:spid="_x0000_s2049" style="height:0.75pt;margin-left:88.4pt;margin-top:54.1pt;mso-height-relative:page;mso-position-horizontal-relative:page;mso-position-vertical-relative:page;mso-width-relative:page;position:absolute;width:418.5pt;z-index:251658240" coordsize="8370,15" o:allowincell="f" path="m,7l8369,7e" filled="f" stroked="t">
          <v:stroke joinstyle="mi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52" w:lineRule="auto"/>
      <w:rPr>
        <w:sz w:val="2"/>
      </w:rPr>
    </w:pPr>
    <w:r>
      <w:pict>
        <v:shape id="_x0000_s4098" o:spid="_x0000_s2050" style="height:0.75pt;margin-left:88.4pt;margin-top:54.1pt;mso-height-relative:page;mso-position-horizontal-relative:page;mso-position-vertical-relative:page;mso-width-relative:page;position:absolute;width:418.5pt;z-index:251659264" coordsize="8370,15" o:allowincell="f" path="m,7l8369,7e" filled="f" stroked="t">
          <v:stroke joinstyle="mi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footer" Target="footer1.xml" /><Relationship Id="rId9" Type="http://schemas.openxmlformats.org/officeDocument/2006/relationships/header" Target="header4.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5</Pages>
  <Words>1439</Words>
  <Characters>1507</Characters>
  <Application>Microsoft Office Word</Application>
  <DocSecurity>0</DocSecurity>
  <Lines>0</Lines>
  <Paragraphs>0</Paragraphs>
  <ScaleCrop>false</ScaleCrop>
  <Company/>
  <LinksUpToDate>false</LinksUpToDate>
  <CharactersWithSpaces>1538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健 张</dc:creator>
  <cp:lastModifiedBy>nancy杨茜</cp:lastModifiedBy>
  <cp:revision>0</cp:revision>
  <dcterms:created xsi:type="dcterms:W3CDTF">2025-08-19T17:02:00Z</dcterms:created>
  <dcterms:modified xsi:type="dcterms:W3CDTF">2026-01-07T10:47:51Z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2025-08-21T23:19:59Z</vt:filetime>
  </property>
  <property fmtid="{D5CDD505-2E9C-101B-9397-08002B2CF9AE}" pid="3" name="CRO">
    <vt:lpwstr>wqlLaW5nc29mdCBQREYgdG8gV1BTIDExNQ</vt:lpwstr>
  </property>
  <property fmtid="{D5CDD505-2E9C-101B-9397-08002B2CF9AE}" pid="4" name="ICV">
    <vt:lpwstr>8F2E0A1DFA5B4908BF438CFA6DB17F83_12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