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6554"/>
      <w:r>
        <w:rPr>
          <w:rFonts w:hint="eastAsia"/>
          <w:lang w:val="en-US" w:eastAsia="zh-CN"/>
        </w:rPr>
        <w:t>最终软件库</w:t>
      </w:r>
      <w:r>
        <w:t>应用提升情况说明</w:t>
      </w:r>
      <w:bookmarkEnd w:id="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2246"/>
      <w:r>
        <w:t>中达丰集团有限公司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808"/>
        <w:textAlignment w:val="baseline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0"/>
          <w:sz w:val="36"/>
          <w:szCs w:val="36"/>
        </w:rPr>
        <w:t>2025年</w:t>
      </w:r>
      <w:r>
        <w:rPr>
          <w:rFonts w:ascii="宋体" w:eastAsia="宋体" w:hAnsi="宋体" w:cs="宋体" w:hint="eastAsia"/>
          <w:spacing w:val="-10"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/>
          <w:spacing w:val="-10"/>
          <w:sz w:val="36"/>
          <w:szCs w:val="36"/>
        </w:rPr>
        <w:t>月20日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eastAsia="宋体" w:hAnsi="宋体" w:cs="宋体"/>
          <w:sz w:val="36"/>
          <w:szCs w:val="36"/>
        </w:rPr>
        <w:sectPr>
          <w:headerReference w:type="default" r:id="rId5"/>
          <w:pgSz w:w="11906" w:h="16839"/>
          <w:pgMar w:top="1097" w:right="1767" w:bottom="0" w:left="1768" w:header="1082" w:footer="0" w:gutter="0"/>
          <w:cols w:num="1" w:space="720"/>
        </w:sect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78"/>
        <w:textAlignment w:val="baseline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21158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TableNormal0"/>
        <w:tblW w:w="8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1557"/>
        <w:gridCol w:w="2121"/>
        <w:gridCol w:w="1698"/>
        <w:gridCol w:w="1561"/>
      </w:tblGrid>
      <w:tr>
        <w:tblPrEx>
          <w:tblW w:w="863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224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37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108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最终软件库</w:t>
            </w:r>
            <w:r>
              <w:rPr>
                <w:spacing w:val="-1"/>
              </w:rPr>
              <w:t>应用提升情况说明</w:t>
            </w:r>
          </w:p>
        </w:tc>
      </w:tr>
      <w:tr>
        <w:tblPrEx>
          <w:tblW w:w="863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34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6937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19" w:lineRule="auto"/>
              <w:ind w:left="108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>
        <w:tblPrEx>
          <w:tblW w:w="863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434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360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12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19" w:lineRule="auto"/>
              <w:ind w:left="64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69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593"/>
              <w:textAlignment w:val="baseline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9" w:line="220" w:lineRule="auto"/>
              <w:ind w:left="586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863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 w:line="239" w:lineRule="auto"/>
              <w:ind w:left="637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4"/>
              <w:ind w:left="362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-20</w:t>
            </w:r>
          </w:p>
        </w:tc>
        <w:tc>
          <w:tcPr>
            <w:tcW w:w="212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19" w:lineRule="auto"/>
              <w:ind w:left="647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69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5" w:line="220" w:lineRule="auto"/>
              <w:ind w:left="550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56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4" w:line="220" w:lineRule="auto"/>
              <w:ind w:left="476"/>
              <w:textAlignment w:val="baseline"/>
            </w:pPr>
            <w:r>
              <w:rPr>
                <w:spacing w:val="-3"/>
              </w:rPr>
              <w:t>吴向阳</w:t>
            </w:r>
          </w:p>
        </w:tc>
      </w:tr>
      <w:tr>
        <w:tblPrEx>
          <w:tblW w:w="863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863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7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863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headerReference w:type="default" r:id="rId6"/>
          <w:pgSz w:w="11906" w:h="16839"/>
          <w:pgMar w:top="1097" w:right="1627" w:bottom="0" w:left="1628" w:header="1082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109"/>
        <w:docPartObj>
          <w:docPartGallery w:val="Table of Contents"/>
          <w:docPartUnique/>
        </w:docPartObj>
      </w:sdtPr>
      <w:sdtEndPr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z w:val="24"/>
              <w:szCs w:val="24"/>
            </w:rPr>
            <w:fldChar w:fldCharType="begin"/>
          </w:r>
          <w:r>
            <w:rPr>
              <w:rFonts w:ascii="Cambria" w:eastAsia="Cambria" w:hAnsi="Cambria" w:cs="Cambria"/>
              <w:sz w:val="24"/>
              <w:szCs w:val="24"/>
            </w:rPr>
            <w:instrText xml:space="preserve">TOC \o "1-3" \h \u </w:instrText>
          </w:r>
          <w:r>
            <w:rPr>
              <w:rFonts w:ascii="Cambria" w:eastAsia="Cambria" w:hAnsi="Cambria" w:cs="Cambria"/>
              <w:sz w:val="24"/>
              <w:szCs w:val="24"/>
            </w:rPr>
            <w:fldChar w:fldCharType="separate"/>
          </w:r>
          <w:r>
            <w:rPr>
              <w:rFonts w:ascii="Cambria" w:eastAsia="Cambria" w:hAnsi="Cambria" w:cs="Cambria"/>
              <w:szCs w:val="24"/>
            </w:rPr>
            <w:fldChar w:fldCharType="begin"/>
          </w:r>
          <w:r>
            <w:rPr>
              <w:rFonts w:ascii="Cambria" w:eastAsia="Cambria" w:hAnsi="Cambria" w:cs="Cambria"/>
              <w:szCs w:val="24"/>
            </w:rPr>
            <w:instrText xml:space="preserve"> HYPERLINK \l _Toc26554 </w:instrText>
          </w:r>
          <w:r>
            <w:rPr>
              <w:rFonts w:ascii="Cambria" w:eastAsia="Cambria" w:hAnsi="Cambria" w:cs="Cambr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</w:t>
          </w:r>
          <w:r>
            <w:t>应用提升情况说明</w:t>
          </w:r>
          <w:r>
            <w:tab/>
          </w:r>
          <w:r>
            <w:fldChar w:fldCharType="begin"/>
          </w:r>
          <w:r>
            <w:instrText xml:space="preserve"> PAGEREF _Toc26554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zCs w:val="24"/>
            </w:rPr>
            <w:fldChar w:fldCharType="begin"/>
          </w:r>
          <w:r>
            <w:rPr>
              <w:rFonts w:ascii="Cambria" w:eastAsia="Cambria" w:hAnsi="Cambria" w:cs="Cambria"/>
              <w:szCs w:val="24"/>
            </w:rPr>
            <w:instrText xml:space="preserve"> HYPERLINK \l _Toc12246 </w:instrText>
          </w:r>
          <w:r>
            <w:rPr>
              <w:rFonts w:ascii="Cambria" w:eastAsia="Cambria" w:hAnsi="Cambria" w:cs="Cambria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_Toc12246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zCs w:val="24"/>
            </w:rPr>
            <w:fldChar w:fldCharType="begin"/>
          </w:r>
          <w:r>
            <w:rPr>
              <w:rFonts w:ascii="Cambria" w:eastAsia="Cambria" w:hAnsi="Cambria" w:cs="Cambria"/>
              <w:szCs w:val="24"/>
            </w:rPr>
            <w:instrText xml:space="preserve"> HYPERLINK \l _Toc21158 </w:instrText>
          </w:r>
          <w:r>
            <w:rPr>
              <w:rFonts w:ascii="Cambria" w:eastAsia="Cambria" w:hAnsi="Cambria" w:cs="Cambr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_Toc21158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eastAsia="Cambria" w:hAnsi="Cambria" w:cs="Cambr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zCs w:val="24"/>
            </w:rPr>
            <w:fldChar w:fldCharType="begin"/>
          </w:r>
          <w:r>
            <w:rPr>
              <w:rFonts w:ascii="Cambria" w:eastAsia="Cambria" w:hAnsi="Cambria" w:cs="Cambria"/>
              <w:szCs w:val="24"/>
            </w:rPr>
            <w:instrText xml:space="preserve"> HYPERLINK \l _Toc16955 </w:instrText>
          </w:r>
          <w:r>
            <w:rPr>
              <w:rFonts w:ascii="Cambria" w:eastAsia="Cambria" w:hAnsi="Cambria" w:cs="Cambr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zCs w:val="28"/>
            </w:rPr>
            <w:t xml:space="preserve">1. </w:t>
          </w:r>
          <w:r>
            <w:rPr>
              <w:rFonts w:ascii="宋体" w:eastAsia="宋体" w:hAnsi="宋体" w:cs="宋体" w:hint="eastAsia"/>
              <w:szCs w:val="28"/>
              <w:lang w:val="en-US" w:eastAsia="zh-CN"/>
            </w:rPr>
            <w:t>最终软件库</w:t>
          </w:r>
          <w:r>
            <w:rPr>
              <w:rFonts w:ascii="宋体" w:eastAsia="宋体" w:hAnsi="宋体" w:cs="宋体" w:hint="eastAsia"/>
              <w:szCs w:val="28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_Toc16955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eastAsia="Cambria" w:hAnsi="Cambria" w:cs="Cambr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zCs w:val="24"/>
            </w:rPr>
            <w:fldChar w:fldCharType="begin"/>
          </w:r>
          <w:r>
            <w:rPr>
              <w:rFonts w:ascii="Cambria" w:eastAsia="Cambria" w:hAnsi="Cambria" w:cs="Cambria"/>
              <w:szCs w:val="24"/>
            </w:rPr>
            <w:instrText xml:space="preserve"> HYPERLINK \l _Toc20252 </w:instrText>
          </w:r>
          <w:r>
            <w:rPr>
              <w:rFonts w:ascii="Cambria" w:eastAsia="Cambria" w:hAnsi="Cambria" w:cs="Cambr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Github代码托管优势</w:t>
          </w:r>
          <w:r>
            <w:tab/>
          </w:r>
          <w:r>
            <w:fldChar w:fldCharType="begin"/>
          </w:r>
          <w:r>
            <w:instrText xml:space="preserve"> PAGEREF _Toc20252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zCs w:val="24"/>
            </w:rPr>
            <w:fldChar w:fldCharType="begin"/>
          </w:r>
          <w:r>
            <w:rPr>
              <w:rFonts w:ascii="Cambria" w:eastAsia="Cambria" w:hAnsi="Cambria" w:cs="Cambria"/>
              <w:szCs w:val="24"/>
            </w:rPr>
            <w:instrText xml:space="preserve"> HYPERLINK \l _Toc10887 </w:instrText>
          </w:r>
          <w:r>
            <w:rPr>
              <w:rFonts w:ascii="Cambria" w:eastAsia="Cambria" w:hAnsi="Cambria" w:cs="Cambria"/>
              <w:szCs w:val="24"/>
            </w:rPr>
            <w:fldChar w:fldCharType="separate"/>
          </w:r>
          <w:r>
            <w:rPr>
              <w:rFonts w:ascii="宋体" w:eastAsia="宋体" w:hAnsi="宋体" w:cs="宋体" w:hint="default"/>
              <w:szCs w:val="28"/>
            </w:rPr>
            <w:t xml:space="preserve">2.1. </w:t>
          </w:r>
          <w:r>
            <w:rPr>
              <w:rFonts w:ascii="宋体" w:hAnsi="宋体" w:cs="宋体" w:hint="eastAsia"/>
              <w:bCs/>
              <w:spacing w:val="-6"/>
              <w:szCs w:val="28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_Toc10887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zCs w:val="24"/>
            </w:rPr>
            <w:fldChar w:fldCharType="begin"/>
          </w:r>
          <w:r>
            <w:rPr>
              <w:rFonts w:ascii="Cambria" w:eastAsia="Cambria" w:hAnsi="Cambria" w:cs="Cambria"/>
              <w:szCs w:val="24"/>
            </w:rPr>
            <w:instrText xml:space="preserve"> HYPERLINK \l _Toc4939 </w:instrText>
          </w:r>
          <w:r>
            <w:rPr>
              <w:rFonts w:ascii="Cambria" w:eastAsia="Cambria" w:hAnsi="Cambria" w:cs="Cambr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_Toc4939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eastAsia="Cambria" w:hAnsi="Cambria" w:cs="Cambr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w:type="default" r:id="rId7"/>
          <w:footerReference w:type="default" r:id="rId8"/>
          <w:pgSz w:w="11906" w:h="16839"/>
          <w:pgMar w:top="1260" w:right="1090" w:bottom="1157" w:left="1092" w:header="0" w:footer="990" w:gutter="0"/>
          <w:cols w:num="1" w:space="72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 w:hint="eastAsia"/>
          <w:sz w:val="28"/>
          <w:szCs w:val="28"/>
        </w:rPr>
      </w:pPr>
      <w:bookmarkStart w:id="3" w:name="bookmark1"/>
      <w:bookmarkEnd w:id="3"/>
      <w:bookmarkStart w:id="4" w:name="_Toc16955"/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最终软件库</w:t>
      </w:r>
      <w:r>
        <w:rPr>
          <w:rFonts w:ascii="宋体" w:eastAsia="宋体" w:hAnsi="宋体" w:cs="宋体" w:hint="eastAsia"/>
          <w:sz w:val="28"/>
          <w:szCs w:val="28"/>
        </w:rPr>
        <w:t>概况</w:t>
      </w:r>
      <w:bookmarkEnd w:id="4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left="1" w:right="287" w:firstLine="559"/>
        <w:textAlignment w:val="baseline"/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为</w:t>
      </w:r>
      <w:r>
        <w:rPr>
          <w:rFonts w:ascii="宋体" w:eastAsia="宋体" w:hAnsi="宋体" w:cs="宋体"/>
          <w:spacing w:val="-1"/>
          <w:sz w:val="28"/>
          <w:szCs w:val="28"/>
        </w:rPr>
        <w:t>确保软件发布的一致性、可靠性与可追溯性，从源头减少了因版本问题引发的故障，为生产环境的稳定运行筑牢了根基。服务数据则驱动运维从“被动响应 ”向“主动优化 ”转型，通过数据的分析与应用，提升了运维效率，降低了运维成本，同时也为公司的业务发展提供了数据支撑。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公司使用Gihub进行代码托管。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right="287"/>
        <w:textAlignment w:val="baseline"/>
      </w:pPr>
      <w:r>
        <w:drawing>
          <wp:inline distT="0" distB="0" distL="114300" distR="114300">
            <wp:extent cx="6037580" cy="4400550"/>
            <wp:effectExtent l="0" t="0" r="12700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6" w:line="348" w:lineRule="auto"/>
        <w:ind w:left="1" w:right="287" w:firstLine="559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6029960" cy="3460115"/>
            <wp:effectExtent l="0" t="0" r="5080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0252"/>
      <w:r>
        <w:rPr>
          <w:rFonts w:hint="eastAsia"/>
          <w:lang w:val="en-US" w:eastAsia="zh-CN"/>
        </w:rPr>
        <w:t>Github代码托管优势</w:t>
      </w:r>
      <w:bookmarkEnd w:id="5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1.轻量高效，资源占用低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1.1简化运维，团队可更好的专注开发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1.2无限制的免费托管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420" w:firstLineChars="200"/>
        <w:jc w:val="left"/>
        <w:textAlignment w:val="baseline"/>
        <w:rPr>
          <w:rFonts w:ascii="宋体" w:eastAsia="宋体" w:hAnsi="宋体" w:cs="宋体" w:hint="default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核心代码协作与版本控制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2.1完整的Git支持，提供仓库托管、分支管理、标签。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2.2高效的push、pull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 w:firstLine="500" w:rightChars="0" w:firstLineChars="0"/>
        <w:jc w:val="left"/>
        <w:textAlignment w:val="baseline"/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2.3代码在线浏览、编辑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/>
          <w:sz w:val="28"/>
          <w:szCs w:val="28"/>
        </w:rPr>
      </w:pPr>
      <w:bookmarkStart w:id="6" w:name="_Toc10887"/>
      <w:r>
        <w:rPr>
          <w:rFonts w:ascii="宋体" w:hAnsi="宋体" w:cs="宋体" w:hint="eastAsia"/>
          <w:b/>
          <w:bCs/>
          <w:spacing w:val="-6"/>
          <w:sz w:val="28"/>
          <w:szCs w:val="28"/>
          <w:lang w:val="en-US" w:eastAsia="zh-CN"/>
        </w:rPr>
        <w:t>考核指标</w:t>
      </w:r>
      <w:bookmarkEnd w:id="6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7" w:line="360" w:lineRule="auto"/>
        <w:ind w:right="357" w:firstLine="593"/>
        <w:jc w:val="both"/>
        <w:textAlignment w:val="baseline"/>
        <w:rPr>
          <w:rFonts w:ascii="宋体" w:eastAsia="宋体" w:hAnsi="宋体" w:cs="宋体"/>
          <w:spacing w:val="-1"/>
          <w:sz w:val="28"/>
          <w:szCs w:val="28"/>
        </w:rPr>
      </w:pP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依据</w:t>
      </w:r>
      <w:r>
        <w:rPr>
          <w:rFonts w:ascii="宋体" w:eastAsia="宋体" w:hAnsi="宋体" w:cs="宋体"/>
          <w:spacing w:val="-2"/>
          <w:sz w:val="28"/>
          <w:szCs w:val="28"/>
        </w:rPr>
        <w:t>实现</w:t>
      </w: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最终软件库管理制度，实现了代码管理的</w:t>
      </w:r>
      <w:r>
        <w:rPr>
          <w:rFonts w:ascii="宋体" w:eastAsia="宋体" w:hAnsi="宋体" w:cs="宋体"/>
          <w:spacing w:val="-2"/>
          <w:sz w:val="28"/>
          <w:szCs w:val="28"/>
        </w:rPr>
        <w:t>标准化及制度化，</w:t>
      </w: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提高</w:t>
      </w:r>
      <w:r>
        <w:rPr>
          <w:rFonts w:ascii="宋体" w:eastAsia="宋体" w:hAnsi="宋体" w:cs="宋体"/>
          <w:spacing w:val="-2"/>
          <w:sz w:val="28"/>
          <w:szCs w:val="28"/>
        </w:rPr>
        <w:t>运维人员</w:t>
      </w:r>
      <w:r>
        <w:rPr>
          <w:rFonts w:ascii="宋体" w:eastAsia="宋体" w:hAnsi="宋体" w:cs="宋体" w:hint="eastAsia"/>
          <w:spacing w:val="-2"/>
          <w:sz w:val="28"/>
          <w:szCs w:val="28"/>
          <w:lang w:val="en-US" w:eastAsia="zh-CN"/>
        </w:rPr>
        <w:t>功率效率，极大的降低了版本出错情况</w:t>
      </w:r>
      <w:r>
        <w:rPr>
          <w:rFonts w:ascii="宋体" w:eastAsia="宋体" w:hAnsi="宋体" w:cs="宋体"/>
          <w:spacing w:val="-2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因此</w:t>
      </w:r>
      <w:r>
        <w:rPr>
          <w:rFonts w:ascii="宋体" w:eastAsia="宋体" w:hAnsi="宋体" w:cs="宋体" w:hint="eastAsia"/>
          <w:sz w:val="28"/>
          <w:szCs w:val="28"/>
          <w:lang w:val="en-US" w:eastAsia="zh-CN"/>
        </w:rPr>
        <w:t>软件版本正确</w:t>
      </w:r>
      <w:r>
        <w:rPr>
          <w:rFonts w:ascii="宋体" w:eastAsia="宋体" w:hAnsi="宋体" w:cs="宋体"/>
          <w:sz w:val="28"/>
          <w:szCs w:val="28"/>
        </w:rPr>
        <w:t>率逐年提升</w:t>
      </w:r>
      <w:r>
        <w:rPr>
          <w:rFonts w:ascii="宋体" w:eastAsia="宋体" w:hAnsi="宋体" w:cs="宋体"/>
          <w:spacing w:val="-1"/>
          <w:sz w:val="28"/>
          <w:szCs w:val="28"/>
        </w:rPr>
        <w:t>，2025年设定的目标均为95%，经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考核</w:t>
      </w:r>
      <w:r>
        <w:rPr>
          <w:rFonts w:ascii="宋体" w:eastAsia="宋体" w:hAnsi="宋体" w:cs="宋体"/>
          <w:spacing w:val="-1"/>
          <w:sz w:val="28"/>
          <w:szCs w:val="28"/>
        </w:rPr>
        <w:t>，2025年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第一、二和三季度软件版本正确率分别是90%、9</w:t>
      </w:r>
      <w:r>
        <w:rPr>
          <w:rFonts w:ascii="宋体" w:hAnsi="宋体" w:cs="宋体" w:hint="eastAsia"/>
          <w:spacing w:val="-1"/>
          <w:sz w:val="28"/>
          <w:szCs w:val="28"/>
          <w:lang w:val="en-US" w:eastAsia="zh-CN"/>
        </w:rPr>
        <w:t>5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%和</w:t>
      </w:r>
      <w:r>
        <w:rPr>
          <w:rFonts w:ascii="宋体" w:hAnsi="宋体" w:cs="宋体" w:hint="eastAsia"/>
          <w:spacing w:val="-1"/>
          <w:sz w:val="28"/>
          <w:szCs w:val="28"/>
          <w:lang w:val="en-US" w:eastAsia="zh-CN"/>
        </w:rPr>
        <w:t>100</w:t>
      </w: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%</w:t>
      </w:r>
      <w:r>
        <w:rPr>
          <w:rFonts w:ascii="宋体" w:eastAsia="宋体" w:hAnsi="宋体" w:cs="宋体"/>
          <w:spacing w:val="-1"/>
          <w:sz w:val="28"/>
          <w:szCs w:val="28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939"/>
      <w:r>
        <w:rPr>
          <w:rFonts w:hint="eastAsia"/>
          <w:lang w:val="en-US" w:eastAsia="zh-CN"/>
        </w:rPr>
        <w:t>问题改进</w:t>
      </w:r>
      <w:bookmarkEnd w:id="7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第一季度虽未达到考核指标要求，但开发效率已实现一定提升。针对最终软件库KPI未达标的情况，我们及时组织研发部及相关人员学习了</w:t>
      </w:r>
      <w:r>
        <w:rPr>
          <w:rFonts w:hint="eastAsia"/>
          <w:lang w:val="en-US" w:eastAsia="zh-CN"/>
        </w:rPr>
        <w:t>《</w:t>
      </w:r>
      <w:r>
        <w:rPr>
          <w:rFonts w:hint="default"/>
          <w:lang w:val="en-US" w:eastAsia="zh-CN"/>
        </w:rPr>
        <w:t>最终软件库管理制度</w:t>
      </w:r>
      <w:r>
        <w:rPr>
          <w:rFonts w:hint="eastAsia"/>
          <w:lang w:val="en-US" w:eastAsia="zh-CN"/>
        </w:rPr>
        <w:t>》</w:t>
      </w:r>
      <w:r>
        <w:rPr>
          <w:rFonts w:hint="default"/>
          <w:lang w:val="en-US" w:eastAsia="zh-CN"/>
        </w:rPr>
        <w:t>，并落实改进措施。经过持续努力，第二季度该项KPI已提升至95%，第三季度进一步达到100%，顺利完成考核目标。</w:t>
      </w:r>
      <w:bookmarkStart w:id="8" w:name="_GoBack"/>
      <w:bookmarkEnd w:id="8"/>
    </w:p>
    <w:sectPr>
      <w:headerReference w:type="default" r:id="rId11"/>
      <w:footerReference w:type="default" r:id="rId12"/>
      <w:pgSz w:w="11906" w:h="16839"/>
      <w:pgMar w:top="1460" w:right="1305" w:bottom="885" w:left="1088" w:header="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8" w:lineRule="auto"/>
      <w:ind w:left="4822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7" w:lineRule="auto"/>
      <w:ind w:left="4827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pict>
        <v:shape id="_x0000_s4097" o:spid="_x0000_s2049" style="height:0.75pt;margin-left:88.4pt;margin-top:54.1pt;mso-height-relative:page;mso-position-horizontal-relative:page;mso-position-vertical-relative:page;mso-width-relative:page;position:absolute;width:418.5pt;z-index:251658240" coordsize="8370,15" o:allowincell="f" path="m,7l8369,7e" filled="f" stroked="t">
          <v:stroke joinstyle="miter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pict>
        <v:shape id="_x0000_s4098" o:spid="_x0000_s2050" style="height:0.75pt;margin-left:88.4pt;margin-top:54.1pt;mso-height-relative:page;mso-position-horizontal-relative:page;mso-position-vertical-relative:page;mso-width-relative:page;position:absolute;width:418.5pt;z-index:251659264" coordsize="8370,15" o:allowincell="f" path="m,7l8369,7e" filled="f" stroked="t">
          <v:stroke joinstyle="miter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BFB4F7"/>
    <w:multiLevelType w:val="multilevel"/>
    <w:tmpl w:val="4EBFB4F7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 w:leftChars="0" w:firstLineChars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 w:leftChars="0" w:firstLineChars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 w:leftChars="0" w:firstLineChars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 w:leftChars="0" w:firstLineChars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 w:leftChars="0" w:firstLineChars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 w:leftChars="0" w:firstLineChars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 w:leftChars="0" w:firstLineChars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 w:leftChars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2.png" /><Relationship Id="rId11" Type="http://schemas.openxmlformats.org/officeDocument/2006/relationships/header" Target="header4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footer" Target="footer1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639</Words>
  <Characters>721</Characters>
  <Application>Microsoft Office Word</Application>
  <DocSecurity>0</DocSecurity>
  <Lines>0</Lines>
  <Paragraphs>0</Paragraphs>
  <ScaleCrop>false</ScaleCrop>
  <Company/>
  <LinksUpToDate>false</LinksUpToDate>
  <CharactersWithSpaces>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健 张</dc:creator>
  <cp:lastModifiedBy>郝宇</cp:lastModifiedBy>
  <cp:revision>0</cp:revision>
  <dcterms:created xsi:type="dcterms:W3CDTF">2025-08-19T16:09:00Z</dcterms:created>
  <dcterms:modified xsi:type="dcterms:W3CDTF">2026-01-08T15:13:38Z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EA03877D88BA48329BBA99C646CC4FBF_12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