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CEA3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54FA6E5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7430"/>
      <w:r>
        <w:t>人员备份管理制度</w:t>
      </w:r>
      <w:bookmarkEnd w:id="0"/>
    </w:p>
    <w:p w14:paraId="10695F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1235"/>
      <w:r>
        <w:t>中达丰集团有限公司</w:t>
      </w:r>
      <w:bookmarkEnd w:id="1"/>
    </w:p>
    <w:p w14:paraId="1E8EF55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</w:pPr>
      <w:bookmarkStart w:id="2" w:name="_Toc31459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2025年4月4日</w:t>
      </w:r>
      <w:bookmarkEnd w:id="2"/>
    </w:p>
    <w:p w14:paraId="67C28CE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b w:val="0"/>
          <w:bCs w:val="0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0ABC93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1836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2391C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7DFE60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08AD6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人员备份管理制度（ZDFJT-ITSS-RYBFGL）</w:t>
            </w:r>
          </w:p>
        </w:tc>
      </w:tr>
      <w:tr w14:paraId="37EB1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BECEE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 w14:paraId="48171F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中达丰集团有限公司</w:t>
            </w:r>
          </w:p>
        </w:tc>
      </w:tr>
      <w:tr w14:paraId="6F602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472CA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44F67C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3" w:type="dxa"/>
          </w:tcPr>
          <w:p w14:paraId="0287D8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0C87F4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24EAAC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1C270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6DC7F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49478A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3" w:type="dxa"/>
          </w:tcPr>
          <w:p w14:paraId="14A182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0B0211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5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庄霞</w:t>
            </w:r>
          </w:p>
        </w:tc>
        <w:tc>
          <w:tcPr>
            <w:tcW w:w="1953" w:type="dxa"/>
          </w:tcPr>
          <w:p w14:paraId="1965A5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吴向阳</w:t>
            </w:r>
          </w:p>
        </w:tc>
      </w:tr>
      <w:tr w14:paraId="19503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35A1A7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0EC1FB2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5C1A5EF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684158C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FE5942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EB51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30E450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4E397D8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6D8B8FD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3759F6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25409F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5F6F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7D1DCA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2BF63AD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14C968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1E7ADF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03279D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6739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151BCC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1A0AA6C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75E1EEF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2EE16E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07BD9D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39CB484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C06C6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r:id="rId5" w:type="default"/>
          <w:pgSz w:w="11906" w:h="16839"/>
          <w:pgMar w:top="1431" w:right="1127" w:bottom="1233" w:left="1696" w:header="0" w:footer="107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276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4C72B4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79082D5">
          <w:pPr>
            <w:pStyle w:val="16"/>
            <w:tabs>
              <w:tab w:val="right" w:leader="dot" w:pos="8488"/>
            </w:tabs>
          </w:pPr>
          <w:bookmarkStart w:id="12" w:name="_GoBack"/>
          <w:bookmarkEnd w:id="12"/>
          <w:r>
            <w:rPr>
              <w:rFonts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_Toc17430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人员备份管理制度</w:t>
          </w:r>
          <w:r>
            <w:tab/>
          </w:r>
          <w:r>
            <w:fldChar w:fldCharType="begin"/>
          </w:r>
          <w:r>
            <w:instrText xml:space="preserve"> PAGEREF _Toc17430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23F8BE83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_Toc31235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_Toc31235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190EC63C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_Toc31459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2025年4月4日</w:t>
          </w:r>
          <w:r>
            <w:tab/>
          </w:r>
          <w:r>
            <w:fldChar w:fldCharType="begin"/>
          </w:r>
          <w:r>
            <w:instrText xml:space="preserve"> PAGEREF _Toc31459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FDD2761">
          <w:pPr>
            <w:pStyle w:val="17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_Toc18365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_Toc18365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F1EA6B4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_Toc3184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1BAA7F7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_Toc12165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名词解释</w:t>
          </w:r>
          <w:r>
            <w:tab/>
          </w:r>
          <w:r>
            <w:fldChar w:fldCharType="begin"/>
          </w:r>
          <w:r>
            <w:instrText xml:space="preserve"> PAGEREF _Toc12165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407FF686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_Toc23013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_Toc23013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78ADDD4D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_Toc10838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备份流程及说明</w:t>
          </w:r>
          <w:r>
            <w:tab/>
          </w:r>
          <w:r>
            <w:fldChar w:fldCharType="begin"/>
          </w:r>
          <w:r>
            <w:instrText xml:space="preserve"> PAGEREF _Toc10838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5CA8483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_Toc27395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责任说明</w:t>
          </w:r>
          <w:r>
            <w:tab/>
          </w:r>
          <w:r>
            <w:fldChar w:fldCharType="begin"/>
          </w:r>
          <w:r>
            <w:instrText xml:space="preserve"> PAGEREF _Toc27395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0FE20FAC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_Toc28912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_Toc28912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6B3B254F">
          <w:pPr>
            <w:pStyle w:val="16"/>
            <w:tabs>
              <w:tab w:val="right" w:leader="dot" w:pos="8488"/>
            </w:tabs>
          </w:pPr>
          <w:r>
            <w:rPr>
              <w:rFonts w:ascii="宋体" w:hAnsi="宋体" w:eastAsia="宋体" w:cs="宋体"/>
              <w:szCs w:val="21"/>
            </w:rPr>
            <w:fldChar w:fldCharType="begin"/>
          </w:r>
          <w:r>
            <w:rPr>
              <w:rFonts w:ascii="宋体" w:hAnsi="宋体" w:eastAsia="宋体" w:cs="宋体"/>
              <w:szCs w:val="21"/>
            </w:rPr>
            <w:instrText xml:space="preserve"> HYPERLINK \l _Toc11646 </w:instrText>
          </w:r>
          <w:r>
            <w:rPr>
              <w:rFonts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主要考核指标</w:t>
          </w:r>
          <w:r>
            <w:tab/>
          </w:r>
          <w:r>
            <w:fldChar w:fldCharType="begin"/>
          </w:r>
          <w:r>
            <w:instrText xml:space="preserve"> PAGEREF _Toc11646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1"/>
            </w:rPr>
            <w:fldChar w:fldCharType="end"/>
          </w:r>
        </w:p>
        <w:p w14:paraId="3938B69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hAnsi="宋体" w:eastAsia="宋体" w:cs="宋体"/>
              <w:szCs w:val="21"/>
            </w:rPr>
            <w:fldChar w:fldCharType="end"/>
          </w:r>
        </w:p>
      </w:sdtContent>
    </w:sdt>
    <w:p w14:paraId="4875563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6" w:type="default"/>
          <w:pgSz w:w="11906" w:h="16839"/>
          <w:pgMar w:top="1431" w:right="1710" w:bottom="1234" w:left="1708" w:header="0" w:footer="1070" w:gutter="0"/>
          <w:cols w:space="720" w:num="1"/>
        </w:sectPr>
      </w:pPr>
    </w:p>
    <w:p w14:paraId="189E3D6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3184"/>
      <w:r>
        <w:t>目的</w:t>
      </w:r>
      <w:bookmarkEnd w:id="4"/>
    </w:p>
    <w:p w14:paraId="2D9A023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为保证公司运维服务水平和运维服务可持续性，确保为客户提供连续可靠的服务，特制定本制度。</w:t>
      </w:r>
    </w:p>
    <w:p w14:paraId="5BDC1FC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2165"/>
      <w:r>
        <w:t>名词解释</w:t>
      </w:r>
      <w:bookmarkEnd w:id="5"/>
    </w:p>
    <w:p w14:paraId="79EE08F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AB备份制度：是指一个岗位或环节由两人兼顾，A岗是业务主办人员，B岗是业务协办人员。当A岗因休假、培训等原因不在岗时，由熟悉A岗业务的B岗代行承办业务，保证工作的持续高效有序运转的一种工作制度。</w:t>
      </w:r>
    </w:p>
    <w:p w14:paraId="617A12B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3013"/>
      <w:r>
        <w:t>适用范围</w:t>
      </w:r>
      <w:bookmarkEnd w:id="6"/>
    </w:p>
    <w:p w14:paraId="7187F7F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本制度适用于公司运维业务中关键岗位。</w:t>
      </w:r>
    </w:p>
    <w:p w14:paraId="1F8D64F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0838"/>
      <w:r>
        <w:t>备份流程及说明</w:t>
      </w:r>
      <w:bookmarkEnd w:id="7"/>
    </w:p>
    <w:p w14:paraId="4A08CC29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B岗人选的选择要求：A岗的直接下属（优秀下属）、同级（同岗位）或者上级，对A岗主要业务及常规工作有一定的了解，能够在管理时间内熟悉A岗工作。</w:t>
      </w:r>
    </w:p>
    <w:p w14:paraId="6A4B1CC2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AB岗备份清单征集整合流程：人力资源部发布通知—人事专员梳理清单—运维业务分管副总审核—人力资源部分管领导审核—人力资源部备案。</w:t>
      </w:r>
    </w:p>
    <w:p w14:paraId="15C4C0DD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AB岗备份触发：A岗人员请假(≥3天）及以上则触发该制度，A岗需要提前3天和对应B岗进行工作交接。且正式休假前3天在公司OA上发布备份通知，告知休假起止时间与备份人员姓名。当发生紧急情况，A岗电话告知B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。</w:t>
      </w:r>
    </w:p>
    <w:p w14:paraId="7CC598FD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开岗进行交接，B应主动承接A岗职责。</w:t>
      </w:r>
    </w:p>
    <w:p w14:paraId="3D50491E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上岗：在A正式休假后，B岗正式接任其工作，并对工作期间的工作结果负责。在此期间内，如遇到难以处理事项可向A岗本人或A岗上级进行咨询，A岗休假期间应保持电话的畅通。</w:t>
      </w:r>
    </w:p>
    <w:p w14:paraId="50B33B7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工作交接：休假时间结束，B岗应告知A岗，在岗期间处理工作的有关情况，并将有关文件资料移交A岗责任人。</w:t>
      </w:r>
    </w:p>
    <w:p w14:paraId="50C98CE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27395"/>
      <w:r>
        <w:t>责任说明</w:t>
      </w:r>
      <w:bookmarkEnd w:id="8"/>
    </w:p>
    <w:p w14:paraId="17C83F59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将AB岗责任人合作和配合情况纳入年度考核内容，A岗责任人离开岗位未及时交代B岗位责任人，影响工作的将追究A岗责任人的责任；</w:t>
      </w:r>
    </w:p>
    <w:p w14:paraId="4E41A25F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B岗责任人在顶岗期间出现问题的，追究B岗责任人责任；造成不良后果，出现客户投诉的，按公司有关规定追究相关负责人和相关人员的责任。</w:t>
      </w:r>
    </w:p>
    <w:p w14:paraId="6E5FE41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28912"/>
      <w:r>
        <w:t>附则</w:t>
      </w:r>
      <w:bookmarkEnd w:id="9"/>
    </w:p>
    <w:p w14:paraId="1BD7BA63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19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本制度由人力资源部负责解释、修订。</w:t>
      </w:r>
    </w:p>
    <w:p w14:paraId="7452F9B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3" w:line="219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本制度自发布之日起执行。</w:t>
      </w:r>
    </w:p>
    <w:p w14:paraId="11013DA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3" w:line="219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附件</w:t>
      </w:r>
    </w:p>
    <w:p w14:paraId="26D431D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15732"/>
      <w:bookmarkStart w:id="11" w:name="_Toc11646"/>
      <w:r>
        <w:rPr>
          <w:rFonts w:hint="eastAsia"/>
          <w:lang w:val="en-US" w:eastAsia="zh-CN"/>
        </w:rPr>
        <w:t>主要考核指标</w:t>
      </w:r>
      <w:bookmarkEnd w:id="10"/>
      <w:bookmarkEnd w:id="11"/>
    </w:p>
    <w:tbl>
      <w:tblPr>
        <w:tblStyle w:val="24"/>
        <w:tblW w:w="8401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1500"/>
        <w:gridCol w:w="3760"/>
        <w:gridCol w:w="1116"/>
        <w:gridCol w:w="885"/>
      </w:tblGrid>
      <w:tr w14:paraId="2F22C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40" w:type="dxa"/>
            <w:shd w:val="clear" w:color="auto" w:fill="C0C0C0"/>
            <w:vAlign w:val="center"/>
          </w:tcPr>
          <w:p w14:paraId="19A5C9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500" w:type="dxa"/>
            <w:shd w:val="clear" w:color="auto" w:fill="C0C0C0"/>
            <w:vAlign w:val="center"/>
          </w:tcPr>
          <w:p w14:paraId="20CD7E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3760" w:type="dxa"/>
            <w:shd w:val="clear" w:color="auto" w:fill="C0C0C0"/>
            <w:vAlign w:val="center"/>
          </w:tcPr>
          <w:p w14:paraId="15A162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1116" w:type="dxa"/>
            <w:shd w:val="clear" w:color="auto" w:fill="C0C0C0"/>
            <w:vAlign w:val="center"/>
          </w:tcPr>
          <w:p w14:paraId="1AEEB2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885" w:type="dxa"/>
            <w:shd w:val="clear" w:color="auto" w:fill="C0C0C0"/>
            <w:vAlign w:val="center"/>
          </w:tcPr>
          <w:p w14:paraId="22CBAD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5861F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40" w:type="dxa"/>
          </w:tcPr>
          <w:p w14:paraId="19AFC2B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710A578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季度备份达成率</w:t>
            </w:r>
          </w:p>
        </w:tc>
        <w:tc>
          <w:tcPr>
            <w:tcW w:w="3760" w:type="dxa"/>
          </w:tcPr>
          <w:p w14:paraId="1148635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实际备份成功人数/计划备份人数*100%</w:t>
            </w:r>
          </w:p>
        </w:tc>
        <w:tc>
          <w:tcPr>
            <w:tcW w:w="1116" w:type="dxa"/>
          </w:tcPr>
          <w:p w14:paraId="5181E49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885" w:type="dxa"/>
          </w:tcPr>
          <w:p w14:paraId="144CDA4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≥90%</w:t>
            </w:r>
          </w:p>
        </w:tc>
      </w:tr>
    </w:tbl>
    <w:p w14:paraId="0B3E7E9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sectPr>
      <w:footerReference r:id="rId7" w:type="default"/>
      <w:pgSz w:w="11906" w:h="16839"/>
      <w:pgMar w:top="1431" w:right="1785" w:bottom="1373" w:left="1686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71FB1">
    <w:pPr>
      <w:spacing w:line="166" w:lineRule="auto"/>
      <w:ind w:left="4226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ABC0">
    <w:pPr>
      <w:spacing w:line="167" w:lineRule="auto"/>
      <w:ind w:left="420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83CB9">
    <w:pPr>
      <w:spacing w:line="165" w:lineRule="auto"/>
      <w:ind w:left="4229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6A19BE6"/>
    <w:multiLevelType w:val="singleLevel"/>
    <w:tmpl w:val="B6A19B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D5E6D4"/>
    <w:multiLevelType w:val="singleLevel"/>
    <w:tmpl w:val="BCD5E6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8F83CC6"/>
    <w:multiLevelType w:val="singleLevel"/>
    <w:tmpl w:val="58F83CC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9C508E"/>
    <w:rsid w:val="080566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931</Words>
  <Characters>981</Characters>
  <Lines>0</Lines>
  <Paragraphs>0</Paragraphs>
  <TotalTime>0</TotalTime>
  <ScaleCrop>false</ScaleCrop>
  <LinksUpToDate>false</LinksUpToDate>
  <CharactersWithSpaces>1021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2025-08-19T20:20:00Z</dcterms:created>
  <dc:creator>谢永刚</dc:creator>
  <cp:lastModifiedBy>郝宇</cp:lastModifiedBy>
  <dcterms:modified xsi:type="dcterms:W3CDTF">2026-02-07T07:29:24Z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2025-09-02T18:32:26Z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5C2274D589DD4FAE898296AFEDDEE53F_13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