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44E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35A938B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3335"/>
      <w:r>
        <w:t>服务级别管理程序</w:t>
      </w:r>
      <w:bookmarkEnd w:id="0"/>
    </w:p>
    <w:p w14:paraId="4A3D25F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3361"/>
      <w:r>
        <w:t>中达丰集团有限公司</w:t>
      </w:r>
      <w:bookmarkEnd w:id="1"/>
    </w:p>
    <w:p w14:paraId="25D057A6">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w:t>
      </w:r>
      <w:r>
        <w:rPr>
          <w:rFonts w:hint="eastAsia" w:ascii="宋体" w:hAnsi="宋体" w:cs="宋体"/>
          <w:spacing w:val="-2"/>
          <w:sz w:val="36"/>
          <w:szCs w:val="36"/>
          <w:lang w:val="en-US" w:eastAsia="zh-CN"/>
        </w:rPr>
        <w:t>4</w:t>
      </w:r>
      <w:r>
        <w:rPr>
          <w:rFonts w:ascii="宋体" w:hAnsi="宋体" w:eastAsia="宋体" w:cs="宋体"/>
          <w:spacing w:val="-2"/>
          <w:sz w:val="36"/>
          <w:szCs w:val="36"/>
        </w:rPr>
        <w:t>-04</w:t>
      </w:r>
    </w:p>
    <w:p w14:paraId="7C2377C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36"/>
          <w:szCs w:val="36"/>
        </w:rPr>
        <w:sectPr>
          <w:pgSz w:w="11906" w:h="16839"/>
          <w:pgMar w:top="1431" w:right="1785" w:bottom="0" w:left="1785" w:header="0" w:footer="0" w:gutter="0"/>
          <w:cols w:space="720" w:num="1"/>
        </w:sectPr>
      </w:pPr>
    </w:p>
    <w:p w14:paraId="6BFCDC70">
      <w:pPr>
        <w:pStyle w:val="12"/>
        <w:keepNext w:val="0"/>
        <w:keepLines w:val="0"/>
        <w:pageBreakBefore w:val="0"/>
        <w:widowControl w:val="0"/>
        <w:kinsoku w:val="0"/>
        <w:wordWrap/>
        <w:overflowPunct/>
        <w:topLinePunct w:val="0"/>
        <w:autoSpaceDE w:val="0"/>
        <w:autoSpaceDN w:val="0"/>
        <w:bidi w:val="0"/>
        <w:adjustRightInd w:val="0"/>
        <w:snapToGrid w:val="0"/>
        <w:spacing w:line="258" w:lineRule="auto"/>
        <w:textAlignment w:val="baseline"/>
      </w:pPr>
    </w:p>
    <w:p w14:paraId="1591F611">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hAnsi="宋体" w:eastAsia="宋体" w:cs="宋体"/>
          <w:sz w:val="21"/>
          <w:szCs w:val="21"/>
        </w:rPr>
      </w:pPr>
      <w:bookmarkStart w:id="2" w:name="_Toc25445"/>
      <w:r>
        <w:rPr>
          <w:rFonts w:ascii="宋体" w:hAnsi="宋体" w:eastAsia="宋体" w:cs="宋体"/>
          <w:spacing w:val="-2"/>
          <w:sz w:val="21"/>
          <w:szCs w:val="21"/>
        </w:rPr>
        <w:t>文档信息</w:t>
      </w:r>
      <w:bookmarkEnd w:id="2"/>
    </w:p>
    <w:p w14:paraId="2C5BA730">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5AC98A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5B917819">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367" w:type="dxa"/>
            <w:gridSpan w:val="4"/>
          </w:tcPr>
          <w:p w14:paraId="44503E16">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rPr>
                <w:rFonts w:ascii="宋体" w:hAnsi="宋体" w:eastAsia="宋体" w:cs="宋体"/>
                <w:sz w:val="21"/>
                <w:szCs w:val="21"/>
              </w:rPr>
            </w:pPr>
            <w:r>
              <w:rPr>
                <w:rFonts w:ascii="宋体" w:hAnsi="宋体" w:eastAsia="宋体" w:cs="宋体"/>
                <w:spacing w:val="-1"/>
                <w:sz w:val="21"/>
                <w:szCs w:val="21"/>
              </w:rPr>
              <w:t>服务级别管理程序（ZDFJT-ITSS-FWJBGL）</w:t>
            </w:r>
          </w:p>
        </w:tc>
      </w:tr>
      <w:tr w14:paraId="0C035F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6BC364DA">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367" w:type="dxa"/>
            <w:gridSpan w:val="4"/>
          </w:tcPr>
          <w:p w14:paraId="5C0384D3">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中达丰集团有限公司</w:t>
            </w:r>
          </w:p>
        </w:tc>
      </w:tr>
      <w:tr w14:paraId="4C6862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0A69FE38">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555" w:type="dxa"/>
          </w:tcPr>
          <w:p w14:paraId="5119078C">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48877661">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7702A28C">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68E358F3">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hAnsi="宋体" w:eastAsia="宋体" w:cs="宋体"/>
                <w:sz w:val="21"/>
                <w:szCs w:val="21"/>
              </w:rPr>
            </w:pPr>
            <w:r>
              <w:rPr>
                <w:rFonts w:ascii="宋体" w:hAnsi="宋体" w:eastAsia="宋体" w:cs="宋体"/>
                <w:spacing w:val="-5"/>
                <w:sz w:val="21"/>
                <w:szCs w:val="21"/>
              </w:rPr>
              <w:t>审核</w:t>
            </w:r>
          </w:p>
        </w:tc>
      </w:tr>
      <w:tr w14:paraId="332384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4EDADB13">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rPr>
                <w:rFonts w:ascii="宋体" w:hAnsi="宋体" w:eastAsia="宋体" w:cs="宋体"/>
                <w:sz w:val="21"/>
                <w:szCs w:val="21"/>
              </w:rPr>
            </w:pPr>
            <w:r>
              <w:rPr>
                <w:rFonts w:ascii="宋体" w:hAnsi="宋体" w:eastAsia="宋体" w:cs="宋体"/>
                <w:spacing w:val="-1"/>
                <w:sz w:val="21"/>
                <w:szCs w:val="21"/>
              </w:rPr>
              <w:t>V1.0</w:t>
            </w:r>
          </w:p>
        </w:tc>
        <w:tc>
          <w:tcPr>
            <w:tcW w:w="1555" w:type="dxa"/>
          </w:tcPr>
          <w:p w14:paraId="6BBCAAE5">
            <w:pPr>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42599A68">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62E48039">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50348F7E">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5358DF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A69B5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301783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ECC20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EE707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1CD46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39876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F534C1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4BFC1F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9EC22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B6413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33F686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881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E5860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2D93B5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7DBCD6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5560B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CC792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6D114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0F092B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44CD5E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C7116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B3978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6BA4D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7506A33B">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9F2A42C">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236" w:bottom="0" w:left="1588" w:header="0" w:footer="0" w:gutter="0"/>
          <w:cols w:space="720" w:num="1"/>
        </w:sectPr>
      </w:pPr>
    </w:p>
    <w:p w14:paraId="0C07D8F4">
      <w:pPr>
        <w:pStyle w:val="12"/>
        <w:keepNext w:val="0"/>
        <w:keepLines w:val="0"/>
        <w:pageBreakBefore w:val="0"/>
        <w:widowControl w:val="0"/>
        <w:kinsoku w:val="0"/>
        <w:wordWrap/>
        <w:overflowPunct/>
        <w:topLinePunct w:val="0"/>
        <w:autoSpaceDE w:val="0"/>
        <w:autoSpaceDN w:val="0"/>
        <w:bidi w:val="0"/>
        <w:adjustRightInd w:val="0"/>
        <w:snapToGrid w:val="0"/>
        <w:spacing w:line="364" w:lineRule="auto"/>
        <w:textAlignment w:val="baseline"/>
      </w:pPr>
    </w:p>
    <w:sdt>
      <w:sdtPr>
        <w:rPr>
          <w:rFonts w:ascii="宋体" w:hAnsi="宋体" w:eastAsia="宋体" w:cs="Arial"/>
          <w:snapToGrid w:val="0"/>
          <w:color w:val="000000"/>
          <w:kern w:val="0"/>
          <w:sz w:val="21"/>
          <w:szCs w:val="21"/>
          <w:lang w:val="en-US" w:eastAsia="en-US" w:bidi="ar-SA"/>
        </w:rPr>
        <w:id w:val="147480924"/>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3DA790B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6EEDE5EA">
          <w:pPr>
            <w:pStyle w:val="16"/>
            <w:tabs>
              <w:tab w:val="right" w:leader="dot" w:pos="8468"/>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_Toc13335 </w:instrText>
          </w:r>
          <w:r>
            <w:rPr>
              <w:rFonts w:hint="eastAsia" w:ascii="Microsoft JhengHei" w:hAnsi="Microsoft JhengHei" w:eastAsia="Microsoft JhengHei" w:cs="Microsoft JhengHei"/>
              <w:szCs w:val="24"/>
            </w:rPr>
            <w:fldChar w:fldCharType="separate"/>
          </w:r>
          <w:r>
            <w:t>服务级别管理程序</w:t>
          </w:r>
          <w:r>
            <w:tab/>
          </w:r>
          <w:r>
            <w:fldChar w:fldCharType="begin"/>
          </w:r>
          <w:r>
            <w:instrText xml:space="preserve"> PAGEREF _Toc13335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1A75E6B1">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_Toc13361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_Toc13361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13F0431">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_Toc25445 </w:instrText>
          </w:r>
          <w:r>
            <w:rPr>
              <w:rFonts w:hint="eastAsia" w:ascii="Microsoft JhengHei" w:hAnsi="Microsoft JhengHei" w:eastAsia="Microsoft JhengHei" w:cs="Microsoft JhengHei"/>
              <w:szCs w:val="24"/>
            </w:rPr>
            <w:fldChar w:fldCharType="separate"/>
          </w:r>
          <w:r>
            <w:rPr>
              <w:rFonts w:ascii="宋体" w:hAnsi="宋体" w:eastAsia="宋体" w:cs="宋体"/>
              <w:spacing w:val="-2"/>
              <w:szCs w:val="21"/>
            </w:rPr>
            <w:t>文档信息</w:t>
          </w:r>
          <w:r>
            <w:tab/>
          </w:r>
          <w:r>
            <w:fldChar w:fldCharType="begin"/>
          </w:r>
          <w:r>
            <w:instrText xml:space="preserve"> PAGEREF _Toc25445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5925EBC8">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_Toc10288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_Toc10288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7765DA9">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_Toc32717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_Toc32717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A278FA0">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_Toc28519 </w:instrText>
          </w:r>
          <w:r>
            <w:rPr>
              <w:rFonts w:hint="eastAsia" w:ascii="Microsoft JhengHei" w:hAnsi="Microsoft JhengHei" w:eastAsia="Microsoft JhengHei" w:cs="Microsoft JhengHei"/>
              <w:szCs w:val="24"/>
            </w:rPr>
            <w:fldChar w:fldCharType="separate"/>
          </w:r>
          <w:r>
            <w:rPr>
              <w:rFonts w:hint="default"/>
            </w:rPr>
            <w:t xml:space="preserve">3. </w:t>
          </w:r>
          <w:r>
            <w:t>术语、缩略词和定义</w:t>
          </w:r>
          <w:r>
            <w:tab/>
          </w:r>
          <w:r>
            <w:fldChar w:fldCharType="begin"/>
          </w:r>
          <w:r>
            <w:instrText xml:space="preserve"> PAGEREF _Toc28519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6358248">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_Toc17395 </w:instrText>
          </w:r>
          <w:r>
            <w:rPr>
              <w:rFonts w:hint="eastAsia" w:ascii="Microsoft JhengHei" w:hAnsi="Microsoft JhengHei" w:eastAsia="Microsoft JhengHei" w:cs="Microsoft JhengHei"/>
              <w:szCs w:val="24"/>
            </w:rPr>
            <w:fldChar w:fldCharType="separate"/>
          </w:r>
          <w:r>
            <w:rPr>
              <w:rFonts w:hint="default"/>
            </w:rPr>
            <w:t xml:space="preserve">4. </w:t>
          </w:r>
          <w:r>
            <w:t>角色与职责</w:t>
          </w:r>
          <w:r>
            <w:tab/>
          </w:r>
          <w:r>
            <w:fldChar w:fldCharType="begin"/>
          </w:r>
          <w:r>
            <w:instrText xml:space="preserve"> PAGEREF _Toc17395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5149796">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_Toc2098 </w:instrText>
          </w:r>
          <w:r>
            <w:rPr>
              <w:rFonts w:hint="eastAsia" w:ascii="Microsoft JhengHei" w:hAnsi="Microsoft JhengHei" w:eastAsia="Microsoft JhengHei" w:cs="Microsoft JhengHei"/>
              <w:szCs w:val="24"/>
            </w:rPr>
            <w:fldChar w:fldCharType="separate"/>
          </w:r>
          <w:r>
            <w:rPr>
              <w:rFonts w:hint="default"/>
            </w:rPr>
            <w:t xml:space="preserve">5. </w:t>
          </w:r>
          <w:r>
            <w:t>服务级别管理流程</w:t>
          </w:r>
          <w:r>
            <w:tab/>
          </w:r>
          <w:r>
            <w:fldChar w:fldCharType="begin"/>
          </w:r>
          <w:r>
            <w:instrText xml:space="preserve"> PAGEREF _Toc2098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EEBB4C6">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_Toc12802 </w:instrText>
          </w:r>
          <w:r>
            <w:rPr>
              <w:rFonts w:hint="eastAsia" w:ascii="Microsoft JhengHei" w:hAnsi="Microsoft JhengHei" w:eastAsia="Microsoft JhengHei" w:cs="Microsoft JhengHei"/>
              <w:szCs w:val="24"/>
            </w:rPr>
            <w:fldChar w:fldCharType="separate"/>
          </w:r>
          <w:r>
            <w:rPr>
              <w:rFonts w:hint="default"/>
            </w:rPr>
            <w:t xml:space="preserve">5.1. </w:t>
          </w:r>
          <w:r>
            <w:t>流程原则</w:t>
          </w:r>
          <w:r>
            <w:tab/>
          </w:r>
          <w:r>
            <w:fldChar w:fldCharType="begin"/>
          </w:r>
          <w:r>
            <w:instrText xml:space="preserve"> PAGEREF _Toc12802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D374A9E">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_Toc23645 </w:instrText>
          </w:r>
          <w:r>
            <w:rPr>
              <w:rFonts w:hint="eastAsia" w:ascii="Microsoft JhengHei" w:hAnsi="Microsoft JhengHei" w:eastAsia="Microsoft JhengHei" w:cs="Microsoft JhengHei"/>
              <w:szCs w:val="24"/>
            </w:rPr>
            <w:fldChar w:fldCharType="separate"/>
          </w:r>
          <w:r>
            <w:rPr>
              <w:rFonts w:hint="default"/>
            </w:rPr>
            <w:t xml:space="preserve">5.1.1. </w:t>
          </w:r>
          <w:r>
            <w:t>流程触发条件</w:t>
          </w:r>
          <w:r>
            <w:tab/>
          </w:r>
          <w:r>
            <w:fldChar w:fldCharType="begin"/>
          </w:r>
          <w:r>
            <w:instrText xml:space="preserve"> PAGEREF _Toc23645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2F73F7E">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_Toc921 </w:instrText>
          </w:r>
          <w:r>
            <w:rPr>
              <w:rFonts w:hint="eastAsia" w:ascii="Microsoft JhengHei" w:hAnsi="Microsoft JhengHei" w:eastAsia="Microsoft JhengHei" w:cs="Microsoft JhengHei"/>
              <w:szCs w:val="24"/>
            </w:rPr>
            <w:fldChar w:fldCharType="separate"/>
          </w:r>
          <w:r>
            <w:rPr>
              <w:rFonts w:hint="default"/>
            </w:rPr>
            <w:t xml:space="preserve">5.1.2. </w:t>
          </w:r>
          <w:r>
            <w:t>流程输入</w:t>
          </w:r>
          <w:r>
            <w:tab/>
          </w:r>
          <w:r>
            <w:fldChar w:fldCharType="begin"/>
          </w:r>
          <w:r>
            <w:instrText xml:space="preserve"> PAGEREF _Toc921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E566EC8">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_Toc493 </w:instrText>
          </w:r>
          <w:r>
            <w:rPr>
              <w:rFonts w:hint="eastAsia" w:ascii="Microsoft JhengHei" w:hAnsi="Microsoft JhengHei" w:eastAsia="Microsoft JhengHei" w:cs="Microsoft JhengHei"/>
              <w:szCs w:val="24"/>
            </w:rPr>
            <w:fldChar w:fldCharType="separate"/>
          </w:r>
          <w:r>
            <w:rPr>
              <w:rFonts w:hint="default"/>
            </w:rPr>
            <w:t xml:space="preserve">5.1.3. </w:t>
          </w:r>
          <w:r>
            <w:t>流程输出</w:t>
          </w:r>
          <w:r>
            <w:tab/>
          </w:r>
          <w:r>
            <w:fldChar w:fldCharType="begin"/>
          </w:r>
          <w:r>
            <w:instrText xml:space="preserve"> PAGEREF _Toc493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8D9C0BD">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_Toc13831 </w:instrText>
          </w:r>
          <w:r>
            <w:rPr>
              <w:rFonts w:hint="eastAsia" w:ascii="Microsoft JhengHei" w:hAnsi="Microsoft JhengHei" w:eastAsia="Microsoft JhengHei" w:cs="Microsoft JhengHei"/>
              <w:szCs w:val="24"/>
            </w:rPr>
            <w:fldChar w:fldCharType="separate"/>
          </w:r>
          <w:r>
            <w:rPr>
              <w:rFonts w:hint="default"/>
            </w:rPr>
            <w:t xml:space="preserve">5.2. </w:t>
          </w:r>
          <w:r>
            <w:t>服务级别管理流程图</w:t>
          </w:r>
          <w:r>
            <w:tab/>
          </w:r>
          <w:r>
            <w:fldChar w:fldCharType="begin"/>
          </w:r>
          <w:r>
            <w:instrText xml:space="preserve"> PAGEREF _Toc13831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D0FA16E">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_Toc10987 </w:instrText>
          </w:r>
          <w:r>
            <w:rPr>
              <w:rFonts w:hint="eastAsia" w:ascii="Microsoft JhengHei" w:hAnsi="Microsoft JhengHei" w:eastAsia="Microsoft JhengHei" w:cs="Microsoft JhengHei"/>
              <w:szCs w:val="24"/>
            </w:rPr>
            <w:fldChar w:fldCharType="separate"/>
          </w:r>
          <w:r>
            <w:rPr>
              <w:rFonts w:hint="default"/>
            </w:rPr>
            <w:t xml:space="preserve">5.3. </w:t>
          </w:r>
          <w:r>
            <w:t>活动说明</w:t>
          </w:r>
          <w:r>
            <w:tab/>
          </w:r>
          <w:r>
            <w:fldChar w:fldCharType="begin"/>
          </w:r>
          <w:r>
            <w:instrText xml:space="preserve"> PAGEREF _Toc10987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7E5B2963">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_Toc32091 </w:instrText>
          </w:r>
          <w:r>
            <w:rPr>
              <w:rFonts w:hint="eastAsia" w:ascii="Microsoft JhengHei" w:hAnsi="Microsoft JhengHei" w:eastAsia="Microsoft JhengHei" w:cs="Microsoft JhengHei"/>
              <w:szCs w:val="24"/>
            </w:rPr>
            <w:fldChar w:fldCharType="separate"/>
          </w:r>
          <w:r>
            <w:rPr>
              <w:rFonts w:hint="default"/>
            </w:rPr>
            <w:t xml:space="preserve">5.3.1. </w:t>
          </w:r>
          <w:r>
            <w:t>识别客户需求</w:t>
          </w:r>
          <w:r>
            <w:tab/>
          </w:r>
          <w:r>
            <w:fldChar w:fldCharType="begin"/>
          </w:r>
          <w:r>
            <w:instrText xml:space="preserve"> PAGEREF _Toc32091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E84AAC4">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_Toc1190 </w:instrText>
          </w:r>
          <w:r>
            <w:rPr>
              <w:rFonts w:hint="eastAsia" w:ascii="Microsoft JhengHei" w:hAnsi="Microsoft JhengHei" w:eastAsia="Microsoft JhengHei" w:cs="Microsoft JhengHei"/>
              <w:szCs w:val="24"/>
            </w:rPr>
            <w:fldChar w:fldCharType="separate"/>
          </w:r>
          <w:r>
            <w:rPr>
              <w:rFonts w:hint="default"/>
            </w:rPr>
            <w:t xml:space="preserve">5.3.2. </w:t>
          </w:r>
          <w:r>
            <w:t>定义服务级别</w:t>
          </w:r>
          <w:r>
            <w:tab/>
          </w:r>
          <w:r>
            <w:fldChar w:fldCharType="begin"/>
          </w:r>
          <w:r>
            <w:instrText xml:space="preserve"> PAGEREF _Toc1190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D5A5557">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_Toc32030 </w:instrText>
          </w:r>
          <w:r>
            <w:rPr>
              <w:rFonts w:hint="eastAsia" w:ascii="Microsoft JhengHei" w:hAnsi="Microsoft JhengHei" w:eastAsia="Microsoft JhengHei" w:cs="Microsoft JhengHei"/>
              <w:szCs w:val="24"/>
            </w:rPr>
            <w:fldChar w:fldCharType="separate"/>
          </w:r>
          <w:r>
            <w:rPr>
              <w:rFonts w:hint="default"/>
            </w:rPr>
            <w:t xml:space="preserve">5.3.3. </w:t>
          </w:r>
          <w:r>
            <w:t>SLA的签订</w:t>
          </w:r>
          <w:r>
            <w:tab/>
          </w:r>
          <w:r>
            <w:fldChar w:fldCharType="begin"/>
          </w:r>
          <w:r>
            <w:instrText xml:space="preserve"> PAGEREF _Toc32030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7B65F2D">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_Toc2585 </w:instrText>
          </w:r>
          <w:r>
            <w:rPr>
              <w:rFonts w:hint="eastAsia" w:ascii="Microsoft JhengHei" w:hAnsi="Microsoft JhengHei" w:eastAsia="Microsoft JhengHei" w:cs="Microsoft JhengHei"/>
              <w:szCs w:val="24"/>
            </w:rPr>
            <w:fldChar w:fldCharType="separate"/>
          </w:r>
          <w:r>
            <w:rPr>
              <w:rFonts w:hint="default"/>
            </w:rPr>
            <w:t xml:space="preserve">5.3.4. </w:t>
          </w:r>
          <w:r>
            <w:t>SLA的实施和监控</w:t>
          </w:r>
          <w:r>
            <w:tab/>
          </w:r>
          <w:r>
            <w:fldChar w:fldCharType="begin"/>
          </w:r>
          <w:r>
            <w:instrText xml:space="preserve"> PAGEREF _Toc2585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B11ED04">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_Toc23471 </w:instrText>
          </w:r>
          <w:r>
            <w:rPr>
              <w:rFonts w:hint="eastAsia" w:ascii="Microsoft JhengHei" w:hAnsi="Microsoft JhengHei" w:eastAsia="Microsoft JhengHei" w:cs="Microsoft JhengHei"/>
              <w:szCs w:val="24"/>
            </w:rPr>
            <w:fldChar w:fldCharType="separate"/>
          </w:r>
          <w:r>
            <w:rPr>
              <w:rFonts w:hint="default"/>
            </w:rPr>
            <w:t xml:space="preserve">5.3.5. </w:t>
          </w:r>
          <w:r>
            <w:t>服务级别评审</w:t>
          </w:r>
          <w:r>
            <w:tab/>
          </w:r>
          <w:r>
            <w:fldChar w:fldCharType="begin"/>
          </w:r>
          <w:r>
            <w:instrText xml:space="preserve"> PAGEREF _Toc23471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7DAA36B">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_Toc10827 </w:instrText>
          </w:r>
          <w:r>
            <w:rPr>
              <w:rFonts w:hint="eastAsia" w:ascii="Microsoft JhengHei" w:hAnsi="Microsoft JhengHei" w:eastAsia="Microsoft JhengHei" w:cs="Microsoft JhengHei"/>
              <w:szCs w:val="24"/>
            </w:rPr>
            <w:fldChar w:fldCharType="separate"/>
          </w:r>
          <w:r>
            <w:rPr>
              <w:rFonts w:hint="default"/>
              <w:lang w:val="en-US" w:eastAsia="zh-CN"/>
            </w:rPr>
            <w:t xml:space="preserve">5.3.6. </w:t>
          </w:r>
          <w:r>
            <w:rPr>
              <w:rFonts w:hint="eastAsia"/>
              <w:lang w:val="en-US" w:eastAsia="zh-CN"/>
            </w:rPr>
            <w:t>服务级别改进</w:t>
          </w:r>
          <w:r>
            <w:tab/>
          </w:r>
          <w:r>
            <w:fldChar w:fldCharType="begin"/>
          </w:r>
          <w:r>
            <w:instrText xml:space="preserve"> PAGEREF _Toc10827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E659F40">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_Toc11663 </w:instrText>
          </w:r>
          <w:r>
            <w:rPr>
              <w:rFonts w:hint="eastAsia" w:ascii="Microsoft JhengHei" w:hAnsi="Microsoft JhengHei" w:eastAsia="Microsoft JhengHei" w:cs="Microsoft JhengHei"/>
              <w:szCs w:val="24"/>
            </w:rPr>
            <w:fldChar w:fldCharType="separate"/>
          </w:r>
          <w:r>
            <w:rPr>
              <w:rFonts w:hint="default"/>
            </w:rPr>
            <w:t xml:space="preserve">5.4. </w:t>
          </w:r>
          <w:r>
            <w:t>关键成功因素</w:t>
          </w:r>
          <w:r>
            <w:tab/>
          </w:r>
          <w:r>
            <w:fldChar w:fldCharType="begin"/>
          </w:r>
          <w:r>
            <w:instrText xml:space="preserve"> PAGEREF _Toc11663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BFAA742">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_Toc27365 </w:instrText>
          </w:r>
          <w:r>
            <w:rPr>
              <w:rFonts w:hint="eastAsia" w:ascii="Microsoft JhengHei" w:hAnsi="Microsoft JhengHei" w:eastAsia="Microsoft JhengHei" w:cs="Microsoft JhengHei"/>
              <w:szCs w:val="24"/>
            </w:rPr>
            <w:fldChar w:fldCharType="separate"/>
          </w:r>
          <w:r>
            <w:rPr>
              <w:rFonts w:hint="default"/>
            </w:rPr>
            <w:t xml:space="preserve">5.5. </w:t>
          </w:r>
          <w:r>
            <w:t>可能存在的风险</w:t>
          </w:r>
          <w:r>
            <w:tab/>
          </w:r>
          <w:r>
            <w:fldChar w:fldCharType="begin"/>
          </w:r>
          <w:r>
            <w:instrText xml:space="preserve"> PAGEREF _Toc27365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3BC5E4DB">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_Toc24624 </w:instrText>
          </w:r>
          <w:r>
            <w:rPr>
              <w:rFonts w:hint="eastAsia" w:ascii="Microsoft JhengHei" w:hAnsi="Microsoft JhengHei" w:eastAsia="Microsoft JhengHei" w:cs="Microsoft JhengHei"/>
              <w:szCs w:val="24"/>
            </w:rPr>
            <w:fldChar w:fldCharType="separate"/>
          </w:r>
          <w:r>
            <w:rPr>
              <w:rFonts w:hint="default"/>
            </w:rPr>
            <w:t xml:space="preserve">5.6. </w:t>
          </w:r>
          <w:r>
            <w:t>与其他流程的关系</w:t>
          </w:r>
          <w:r>
            <w:tab/>
          </w:r>
          <w:r>
            <w:fldChar w:fldCharType="begin"/>
          </w:r>
          <w:r>
            <w:instrText xml:space="preserve"> PAGEREF _Toc24624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170346C8">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_Toc12376 </w:instrText>
          </w:r>
          <w:r>
            <w:rPr>
              <w:rFonts w:hint="eastAsia" w:ascii="Microsoft JhengHei" w:hAnsi="Microsoft JhengHei" w:eastAsia="Microsoft JhengHei" w:cs="Microsoft JhengHei"/>
              <w:szCs w:val="24"/>
            </w:rPr>
            <w:fldChar w:fldCharType="separate"/>
          </w:r>
          <w:r>
            <w:rPr>
              <w:rFonts w:hint="default"/>
            </w:rPr>
            <w:t xml:space="preserve">5.6.1. </w:t>
          </w:r>
          <w:r>
            <w:t>与事件管理和问题管理</w:t>
          </w:r>
          <w:r>
            <w:tab/>
          </w:r>
          <w:r>
            <w:fldChar w:fldCharType="begin"/>
          </w:r>
          <w:r>
            <w:instrText xml:space="preserve"> PAGEREF _Toc12376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29DD2F70">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_Toc18424 </w:instrText>
          </w:r>
          <w:r>
            <w:rPr>
              <w:rFonts w:hint="eastAsia" w:ascii="Microsoft JhengHei" w:hAnsi="Microsoft JhengHei" w:eastAsia="Microsoft JhengHei" w:cs="Microsoft JhengHei"/>
              <w:szCs w:val="24"/>
            </w:rPr>
            <w:fldChar w:fldCharType="separate"/>
          </w:r>
          <w:r>
            <w:rPr>
              <w:rFonts w:hint="default"/>
            </w:rPr>
            <w:t xml:space="preserve">5.6.2. </w:t>
          </w:r>
          <w:r>
            <w:t>与变更管理和发布管理</w:t>
          </w:r>
          <w:r>
            <w:tab/>
          </w:r>
          <w:r>
            <w:fldChar w:fldCharType="begin"/>
          </w:r>
          <w:r>
            <w:instrText xml:space="preserve"> PAGEREF _Toc18424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1BA1BED">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_Toc24641 </w:instrText>
          </w:r>
          <w:r>
            <w:rPr>
              <w:rFonts w:hint="eastAsia" w:ascii="Microsoft JhengHei" w:hAnsi="Microsoft JhengHei" w:eastAsia="Microsoft JhengHei" w:cs="Microsoft JhengHei"/>
              <w:szCs w:val="24"/>
            </w:rPr>
            <w:fldChar w:fldCharType="separate"/>
          </w:r>
          <w:r>
            <w:rPr>
              <w:rFonts w:hint="default"/>
            </w:rPr>
            <w:t xml:space="preserve">5.6.3. </w:t>
          </w:r>
          <w:r>
            <w:t>与配置管理</w:t>
          </w:r>
          <w:r>
            <w:tab/>
          </w:r>
          <w:r>
            <w:fldChar w:fldCharType="begin"/>
          </w:r>
          <w:r>
            <w:instrText xml:space="preserve"> PAGEREF _Toc24641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6223DA69">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_Toc21398 </w:instrText>
          </w:r>
          <w:r>
            <w:rPr>
              <w:rFonts w:hint="eastAsia" w:ascii="Microsoft JhengHei" w:hAnsi="Microsoft JhengHei" w:eastAsia="Microsoft JhengHei" w:cs="Microsoft JhengHei"/>
              <w:szCs w:val="24"/>
            </w:rPr>
            <w:fldChar w:fldCharType="separate"/>
          </w:r>
          <w:r>
            <w:rPr>
              <w:rFonts w:hint="default"/>
            </w:rPr>
            <w:t xml:space="preserve">5.7. </w:t>
          </w:r>
          <w:r>
            <w:t>考核指标</w:t>
          </w:r>
          <w:r>
            <w:tab/>
          </w:r>
          <w:r>
            <w:fldChar w:fldCharType="begin"/>
          </w:r>
          <w:r>
            <w:instrText xml:space="preserve"> PAGEREF _Toc21398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0F00C34">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_Toc30711 </w:instrText>
          </w:r>
          <w:r>
            <w:rPr>
              <w:rFonts w:hint="eastAsia" w:ascii="Microsoft JhengHei" w:hAnsi="Microsoft JhengHei" w:eastAsia="Microsoft JhengHei" w:cs="Microsoft JhengHei"/>
              <w:szCs w:val="24"/>
            </w:rPr>
            <w:fldChar w:fldCharType="separate"/>
          </w:r>
          <w:r>
            <w:rPr>
              <w:rFonts w:hint="default"/>
            </w:rPr>
            <w:t xml:space="preserve">5.8. </w:t>
          </w:r>
          <w:r>
            <w:t>相关政策</w:t>
          </w:r>
          <w:r>
            <w:tab/>
          </w:r>
          <w:r>
            <w:fldChar w:fldCharType="begin"/>
          </w:r>
          <w:r>
            <w:instrText xml:space="preserve"> PAGEREF _Toc30711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0BE12093">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_Toc14053 </w:instrText>
          </w:r>
          <w:r>
            <w:rPr>
              <w:rFonts w:hint="eastAsia" w:ascii="Microsoft JhengHei" w:hAnsi="Microsoft JhengHei" w:eastAsia="Microsoft JhengHei" w:cs="Microsoft JhengHei"/>
              <w:szCs w:val="24"/>
            </w:rPr>
            <w:fldChar w:fldCharType="separate"/>
          </w:r>
          <w:r>
            <w:rPr>
              <w:rFonts w:hint="default"/>
            </w:rPr>
            <w:t xml:space="preserve">5.8.1. </w:t>
          </w:r>
          <w:r>
            <w:t>常规方针</w:t>
          </w:r>
          <w:r>
            <w:tab/>
          </w:r>
          <w:r>
            <w:fldChar w:fldCharType="begin"/>
          </w:r>
          <w:r>
            <w:instrText xml:space="preserve"> PAGEREF _Toc14053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29129A25">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_Toc16476 </w:instrText>
          </w:r>
          <w:r>
            <w:rPr>
              <w:rFonts w:hint="eastAsia" w:ascii="Microsoft JhengHei" w:hAnsi="Microsoft JhengHei" w:eastAsia="Microsoft JhengHei" w:cs="Microsoft JhengHei"/>
              <w:szCs w:val="24"/>
            </w:rPr>
            <w:fldChar w:fldCharType="separate"/>
          </w:r>
          <w:r>
            <w:rPr>
              <w:rFonts w:hint="default"/>
            </w:rPr>
            <w:t xml:space="preserve">5.8.2. </w:t>
          </w:r>
          <w:r>
            <w:t>责任人方针</w:t>
          </w:r>
          <w:r>
            <w:tab/>
          </w:r>
          <w:r>
            <w:fldChar w:fldCharType="begin"/>
          </w:r>
          <w:r>
            <w:instrText xml:space="preserve"> PAGEREF _Toc16476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141464DE">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_Toc12774 </w:instrText>
          </w:r>
          <w:r>
            <w:rPr>
              <w:rFonts w:hint="eastAsia" w:ascii="Microsoft JhengHei" w:hAnsi="Microsoft JhengHei" w:eastAsia="Microsoft JhengHei" w:cs="Microsoft JhengHei"/>
              <w:szCs w:val="24"/>
            </w:rPr>
            <w:fldChar w:fldCharType="separate"/>
          </w:r>
          <w:r>
            <w:rPr>
              <w:rFonts w:hint="default"/>
            </w:rPr>
            <w:t xml:space="preserve">6. </w:t>
          </w:r>
          <w:r>
            <w:t>相关文件及模板</w:t>
          </w:r>
          <w:r>
            <w:tab/>
          </w:r>
          <w:r>
            <w:fldChar w:fldCharType="begin"/>
          </w:r>
          <w:r>
            <w:instrText xml:space="preserve"> PAGEREF _Toc12774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7E6716B5">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6475ED12">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3AB7F8B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0288"/>
      <w:r>
        <w:t>目的</w:t>
      </w:r>
      <w:bookmarkEnd w:id="3"/>
    </w:p>
    <w:p w14:paraId="457EB28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服务级别管理（</w:t>
      </w:r>
      <w:r>
        <w:rPr>
          <w:rFonts w:ascii="Calibri" w:hAnsi="Calibri" w:eastAsia="Calibri" w:cs="Calibri"/>
          <w:sz w:val="24"/>
          <w:szCs w:val="24"/>
        </w:rPr>
        <w:t>SLM</w:t>
      </w:r>
      <w:r>
        <w:rPr>
          <w:rFonts w:ascii="宋体" w:hAnsi="宋体" w:eastAsia="宋体" w:cs="宋体"/>
          <w:sz w:val="24"/>
          <w:szCs w:val="24"/>
        </w:rPr>
        <w:t>）是为确保对整个运维服务</w:t>
      </w:r>
      <w:r>
        <w:rPr>
          <w:rFonts w:ascii="宋体" w:hAnsi="宋体" w:eastAsia="宋体" w:cs="宋体"/>
          <w:spacing w:val="-1"/>
          <w:sz w:val="24"/>
          <w:szCs w:val="24"/>
        </w:rPr>
        <w:t>组织中所有运维服务及其</w:t>
      </w:r>
      <w:r>
        <w:rPr>
          <w:rFonts w:ascii="宋体" w:hAnsi="宋体" w:eastAsia="宋体" w:cs="宋体"/>
          <w:sz w:val="24"/>
          <w:szCs w:val="24"/>
        </w:rPr>
        <w:t>绩效以专业一致的方式进行衡量，并且服务和产生</w:t>
      </w:r>
      <w:r>
        <w:rPr>
          <w:rFonts w:ascii="宋体" w:hAnsi="宋体" w:eastAsia="宋体" w:cs="宋体"/>
          <w:spacing w:val="-1"/>
          <w:sz w:val="24"/>
          <w:szCs w:val="24"/>
        </w:rPr>
        <w:t>的报告符合业务和客户的需</w:t>
      </w:r>
      <w:r>
        <w:rPr>
          <w:rFonts w:ascii="宋体" w:hAnsi="宋体" w:eastAsia="宋体" w:cs="宋体"/>
          <w:spacing w:val="-5"/>
          <w:sz w:val="24"/>
          <w:szCs w:val="24"/>
        </w:rPr>
        <w:t>要。具体目的包括以下几项：</w:t>
      </w:r>
    </w:p>
    <w:p w14:paraId="05F1B75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通过对运维服务绩效的协商、监控、评价和报告等一整套相对固定的</w:t>
      </w:r>
      <w:r>
        <w:rPr>
          <w:rFonts w:hint="eastAsia"/>
          <w:lang w:val="en-US" w:eastAsia="zh-CN"/>
        </w:rPr>
        <w:t>运维</w:t>
      </w:r>
      <w:r>
        <w:t>流程，来维持和改进运维服务的质量，使之既符合业务需求，又满足成本约束的要求；</w:t>
      </w:r>
    </w:p>
    <w:p w14:paraId="2E9F725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采取适当的行动来消除或改进不符合级别要求的运维服务；</w:t>
      </w:r>
    </w:p>
    <w:p w14:paraId="4A2420A1">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提高客户满意度以改善与客户的关系；</w:t>
      </w:r>
    </w:p>
    <w:p w14:paraId="2DD58B55">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督促运维服务提供方。为了规范服务级别管理过程，特制定本文档。</w:t>
      </w:r>
    </w:p>
    <w:p w14:paraId="002791A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32717"/>
      <w:r>
        <w:t>适用范围</w:t>
      </w:r>
      <w:bookmarkEnd w:id="4"/>
    </w:p>
    <w:p w14:paraId="237DE49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本文档适用于服务级别管理过程。</w:t>
      </w:r>
    </w:p>
    <w:p w14:paraId="6406D0E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8519"/>
      <w:r>
        <w:t>术语、缩略词和定义</w:t>
      </w:r>
      <w:bookmarkEnd w:id="5"/>
    </w:p>
    <w:p w14:paraId="5FC9E5EA">
      <w:pPr>
        <w:keepNext w:val="0"/>
        <w:keepLines w:val="0"/>
        <w:pageBreakBefore w:val="0"/>
        <w:widowControl w:val="0"/>
        <w:kinsoku w:val="0"/>
        <w:wordWrap/>
        <w:overflowPunct/>
        <w:topLinePunct w:val="0"/>
        <w:autoSpaceDE w:val="0"/>
        <w:autoSpaceDN w:val="0"/>
        <w:bidi w:val="0"/>
        <w:adjustRightInd w:val="0"/>
        <w:snapToGrid w:val="0"/>
        <w:spacing w:line="35" w:lineRule="exact"/>
        <w:textAlignment w:val="baseline"/>
      </w:pPr>
    </w:p>
    <w:tbl>
      <w:tblPr>
        <w:tblStyle w:val="24"/>
        <w:tblW w:w="8528" w:type="dxa"/>
        <w:tblInd w:w="1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202"/>
        <w:gridCol w:w="897"/>
        <w:gridCol w:w="6429"/>
      </w:tblGrid>
      <w:tr w14:paraId="0384C6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rHeight w:val="784" w:hRule="atLeast"/>
        </w:trPr>
        <w:tc>
          <w:tcPr>
            <w:tcW w:w="1202" w:type="dxa"/>
            <w:tcBorders>
              <w:top w:val="single" w:color="000000" w:sz="12" w:space="0"/>
              <w:left w:val="single" w:color="000000" w:sz="12" w:space="0"/>
              <w:right w:val="single" w:color="000000" w:sz="2" w:space="0"/>
            </w:tcBorders>
            <w:shd w:val="clear" w:color="auto" w:fill="BFBFBF"/>
            <w:vAlign w:val="center"/>
          </w:tcPr>
          <w:p w14:paraId="3EFD4850">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327"/>
              <w:textAlignment w:val="baseline"/>
              <w:rPr>
                <w:rFonts w:ascii="宋体" w:hAnsi="宋体" w:eastAsia="宋体" w:cs="宋体"/>
                <w:sz w:val="21"/>
                <w:szCs w:val="21"/>
              </w:rPr>
            </w:pPr>
            <w:r>
              <w:rPr>
                <w:rFonts w:ascii="宋体" w:hAnsi="宋体" w:eastAsia="宋体" w:cs="宋体"/>
                <w:b/>
                <w:bCs/>
                <w:spacing w:val="-8"/>
                <w:sz w:val="21"/>
                <w:szCs w:val="21"/>
              </w:rPr>
              <w:t>术</w:t>
            </w:r>
            <w:r>
              <w:rPr>
                <w:rFonts w:ascii="宋体" w:hAnsi="宋体" w:eastAsia="宋体" w:cs="宋体"/>
                <w:spacing w:val="8"/>
                <w:sz w:val="21"/>
                <w:szCs w:val="21"/>
              </w:rPr>
              <w:t xml:space="preserve"> </w:t>
            </w:r>
            <w:r>
              <w:rPr>
                <w:rFonts w:ascii="宋体" w:hAnsi="宋体" w:eastAsia="宋体" w:cs="宋体"/>
                <w:b/>
                <w:bCs/>
                <w:spacing w:val="-8"/>
                <w:sz w:val="21"/>
                <w:szCs w:val="21"/>
              </w:rPr>
              <w:t>语</w:t>
            </w:r>
          </w:p>
        </w:tc>
        <w:tc>
          <w:tcPr>
            <w:tcW w:w="897" w:type="dxa"/>
            <w:tcBorders>
              <w:top w:val="single" w:color="000000" w:sz="12" w:space="0"/>
              <w:left w:val="single" w:color="000000" w:sz="2" w:space="0"/>
              <w:right w:val="single" w:color="000000" w:sz="2" w:space="0"/>
            </w:tcBorders>
            <w:shd w:val="clear" w:color="auto" w:fill="BFBFBF"/>
            <w:vAlign w:val="center"/>
          </w:tcPr>
          <w:p w14:paraId="52003EE6">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129"/>
              <w:textAlignment w:val="baseline"/>
              <w:rPr>
                <w:rFonts w:ascii="宋体" w:hAnsi="宋体" w:eastAsia="宋体" w:cs="宋体"/>
                <w:sz w:val="21"/>
                <w:szCs w:val="21"/>
              </w:rPr>
            </w:pPr>
            <w:r>
              <w:rPr>
                <w:rFonts w:ascii="宋体" w:hAnsi="宋体" w:eastAsia="宋体" w:cs="宋体"/>
                <w:b/>
                <w:bCs/>
                <w:spacing w:val="-5"/>
                <w:sz w:val="21"/>
                <w:szCs w:val="21"/>
              </w:rPr>
              <w:t>缩略词</w:t>
            </w:r>
          </w:p>
        </w:tc>
        <w:tc>
          <w:tcPr>
            <w:tcW w:w="6429" w:type="dxa"/>
            <w:tcBorders>
              <w:top w:val="single" w:color="000000" w:sz="12" w:space="0"/>
              <w:left w:val="single" w:color="000000" w:sz="2" w:space="0"/>
              <w:right w:val="single" w:color="000000" w:sz="12" w:space="0"/>
            </w:tcBorders>
            <w:shd w:val="clear" w:color="auto" w:fill="BFBFBF"/>
            <w:vAlign w:val="center"/>
          </w:tcPr>
          <w:p w14:paraId="52606167">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2958"/>
              <w:textAlignment w:val="baseline"/>
              <w:rPr>
                <w:rFonts w:ascii="宋体" w:hAnsi="宋体" w:eastAsia="宋体" w:cs="宋体"/>
                <w:sz w:val="21"/>
                <w:szCs w:val="21"/>
              </w:rPr>
            </w:pPr>
            <w:r>
              <w:rPr>
                <w:rFonts w:ascii="宋体" w:hAnsi="宋体" w:eastAsia="宋体" w:cs="宋体"/>
                <w:b/>
                <w:bCs/>
                <w:spacing w:val="-9"/>
                <w:sz w:val="21"/>
                <w:szCs w:val="21"/>
              </w:rPr>
              <w:t>定</w:t>
            </w:r>
            <w:r>
              <w:rPr>
                <w:rFonts w:ascii="宋体" w:hAnsi="宋体" w:eastAsia="宋体" w:cs="宋体"/>
                <w:spacing w:val="10"/>
                <w:sz w:val="21"/>
                <w:szCs w:val="21"/>
              </w:rPr>
              <w:t xml:space="preserve"> </w:t>
            </w:r>
            <w:r>
              <w:rPr>
                <w:rFonts w:ascii="宋体" w:hAnsi="宋体" w:eastAsia="宋体" w:cs="宋体"/>
                <w:b/>
                <w:bCs/>
                <w:spacing w:val="-9"/>
                <w:sz w:val="21"/>
                <w:szCs w:val="21"/>
              </w:rPr>
              <w:t>义</w:t>
            </w:r>
          </w:p>
        </w:tc>
      </w:tr>
      <w:tr w14:paraId="215B3B3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708" w:hRule="atLeast"/>
        </w:trPr>
        <w:tc>
          <w:tcPr>
            <w:tcW w:w="1202" w:type="dxa"/>
            <w:tcBorders>
              <w:left w:val="single" w:color="000000" w:sz="12" w:space="0"/>
            </w:tcBorders>
            <w:vAlign w:val="center"/>
          </w:tcPr>
          <w:p w14:paraId="4815F85E">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168"/>
              <w:textAlignment w:val="baseline"/>
              <w:rPr>
                <w:rFonts w:ascii="宋体" w:hAnsi="宋体" w:eastAsia="宋体" w:cs="宋体"/>
                <w:sz w:val="21"/>
                <w:szCs w:val="21"/>
              </w:rPr>
            </w:pPr>
            <w:r>
              <w:rPr>
                <w:rFonts w:ascii="宋体" w:hAnsi="宋体" w:eastAsia="宋体" w:cs="宋体"/>
                <w:spacing w:val="-2"/>
                <w:sz w:val="21"/>
                <w:szCs w:val="21"/>
              </w:rPr>
              <w:t>服务目录</w:t>
            </w:r>
          </w:p>
        </w:tc>
        <w:tc>
          <w:tcPr>
            <w:tcW w:w="897" w:type="dxa"/>
            <w:vAlign w:val="center"/>
          </w:tcPr>
          <w:p w14:paraId="3EE594D5">
            <w:pPr>
              <w:keepNext w:val="0"/>
              <w:keepLines w:val="0"/>
              <w:pageBreakBefore w:val="0"/>
              <w:widowControl w:val="0"/>
              <w:kinsoku w:val="0"/>
              <w:wordWrap/>
              <w:overflowPunct/>
              <w:topLinePunct w:val="0"/>
              <w:autoSpaceDE w:val="0"/>
              <w:autoSpaceDN w:val="0"/>
              <w:bidi w:val="0"/>
              <w:adjustRightInd w:val="0"/>
              <w:snapToGrid w:val="0"/>
              <w:spacing w:before="60" w:line="186" w:lineRule="auto"/>
              <w:ind w:left="31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SC</w:t>
            </w:r>
          </w:p>
        </w:tc>
        <w:tc>
          <w:tcPr>
            <w:tcW w:w="6429" w:type="dxa"/>
            <w:tcBorders>
              <w:right w:val="single" w:color="000000" w:sz="12" w:space="0"/>
            </w:tcBorders>
            <w:vAlign w:val="center"/>
          </w:tcPr>
          <w:p w14:paraId="32F20BE9">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服务提供方以顾客的语言记录可提供全部服务的文件，并给出这些服务的概要信息。作为一个重要的沟通工具，服务目录可以帮助协调顾客的期望，从而有助于客户和服务提供方之间的过程整合。</w:t>
            </w:r>
          </w:p>
        </w:tc>
      </w:tr>
      <w:tr w14:paraId="14B3B9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trPr>
        <w:tc>
          <w:tcPr>
            <w:tcW w:w="1202" w:type="dxa"/>
            <w:tcBorders>
              <w:left w:val="single" w:color="000000" w:sz="12" w:space="0"/>
            </w:tcBorders>
            <w:vAlign w:val="center"/>
          </w:tcPr>
          <w:p w14:paraId="7D3DDFE5">
            <w:pPr>
              <w:keepNext w:val="0"/>
              <w:keepLines w:val="0"/>
              <w:pageBreakBefore w:val="0"/>
              <w:widowControl w:val="0"/>
              <w:kinsoku w:val="0"/>
              <w:wordWrap/>
              <w:overflowPunct/>
              <w:topLinePunct w:val="0"/>
              <w:autoSpaceDE w:val="0"/>
              <w:autoSpaceDN w:val="0"/>
              <w:bidi w:val="0"/>
              <w:adjustRightInd w:val="0"/>
              <w:snapToGrid w:val="0"/>
              <w:spacing w:before="289" w:line="220" w:lineRule="auto"/>
              <w:ind w:left="168"/>
              <w:textAlignment w:val="baseline"/>
              <w:rPr>
                <w:rFonts w:ascii="宋体" w:hAnsi="宋体" w:eastAsia="宋体" w:cs="宋体"/>
                <w:sz w:val="21"/>
                <w:szCs w:val="21"/>
              </w:rPr>
            </w:pPr>
            <w:r>
              <w:rPr>
                <w:rFonts w:ascii="宋体" w:hAnsi="宋体" w:eastAsia="宋体" w:cs="宋体"/>
                <w:spacing w:val="-2"/>
                <w:sz w:val="21"/>
                <w:szCs w:val="21"/>
              </w:rPr>
              <w:t>服务级别</w:t>
            </w:r>
          </w:p>
        </w:tc>
        <w:tc>
          <w:tcPr>
            <w:tcW w:w="897" w:type="dxa"/>
            <w:vAlign w:val="center"/>
          </w:tcPr>
          <w:p w14:paraId="684859AE">
            <w:pPr>
              <w:keepNext w:val="0"/>
              <w:keepLines w:val="0"/>
              <w:pageBreakBefore w:val="0"/>
              <w:widowControl w:val="0"/>
              <w:kinsoku w:val="0"/>
              <w:wordWrap/>
              <w:overflowPunct/>
              <w:topLinePunct w:val="0"/>
              <w:autoSpaceDE w:val="0"/>
              <w:autoSpaceDN w:val="0"/>
              <w:bidi w:val="0"/>
              <w:adjustRightInd w:val="0"/>
              <w:snapToGrid w:val="0"/>
              <w:spacing w:before="60" w:line="186" w:lineRule="auto"/>
              <w:ind w:left="32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SL</w:t>
            </w:r>
          </w:p>
        </w:tc>
        <w:tc>
          <w:tcPr>
            <w:tcW w:w="6429" w:type="dxa"/>
            <w:tcBorders>
              <w:right w:val="single" w:color="000000" w:sz="12" w:space="0"/>
            </w:tcBorders>
            <w:vAlign w:val="center"/>
          </w:tcPr>
          <w:p w14:paraId="3133E5B4">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指服务提供方与客户就服务的质量、性能等方面所达成的双方共同认可的级别要求。</w:t>
            </w:r>
          </w:p>
        </w:tc>
      </w:tr>
    </w:tbl>
    <w:p w14:paraId="1BBC631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17395"/>
      <w:r>
        <w:t>角色与职责</w:t>
      </w:r>
      <w:bookmarkEnd w:id="6"/>
    </w:p>
    <w:p w14:paraId="6028D1D0">
      <w:pPr>
        <w:keepNext w:val="0"/>
        <w:keepLines w:val="0"/>
        <w:pageBreakBefore w:val="0"/>
        <w:widowControl w:val="0"/>
        <w:kinsoku w:val="0"/>
        <w:wordWrap/>
        <w:overflowPunct/>
        <w:topLinePunct w:val="0"/>
        <w:autoSpaceDE w:val="0"/>
        <w:autoSpaceDN w:val="0"/>
        <w:bidi w:val="0"/>
        <w:adjustRightInd w:val="0"/>
        <w:snapToGrid w:val="0"/>
        <w:spacing w:line="35" w:lineRule="exact"/>
        <w:textAlignment w:val="baseline"/>
      </w:pPr>
    </w:p>
    <w:tbl>
      <w:tblPr>
        <w:tblStyle w:val="24"/>
        <w:tblW w:w="8471" w:type="dxa"/>
        <w:tblInd w:w="4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26"/>
        <w:gridCol w:w="5119"/>
        <w:gridCol w:w="1826"/>
      </w:tblGrid>
      <w:tr w14:paraId="7D1A59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1" w:hRule="atLeast"/>
        </w:trPr>
        <w:tc>
          <w:tcPr>
            <w:tcW w:w="1526" w:type="dxa"/>
            <w:shd w:val="clear" w:color="auto" w:fill="C0C0C0"/>
          </w:tcPr>
          <w:p w14:paraId="3C207C7A">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558"/>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119" w:type="dxa"/>
            <w:shd w:val="clear" w:color="auto" w:fill="C0C0C0"/>
          </w:tcPr>
          <w:p w14:paraId="1CD13FBB">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2491"/>
              <w:textAlignment w:val="baseline"/>
              <w:rPr>
                <w:rFonts w:ascii="宋体" w:hAnsi="宋体" w:eastAsia="宋体" w:cs="宋体"/>
                <w:sz w:val="21"/>
                <w:szCs w:val="21"/>
              </w:rPr>
            </w:pPr>
            <w:r>
              <w:rPr>
                <w:rFonts w:ascii="宋体" w:hAnsi="宋体" w:eastAsia="宋体" w:cs="宋体"/>
                <w:b/>
                <w:bCs/>
                <w:spacing w:val="-5"/>
                <w:sz w:val="21"/>
                <w:szCs w:val="21"/>
              </w:rPr>
              <w:t>职责</w:t>
            </w:r>
          </w:p>
        </w:tc>
        <w:tc>
          <w:tcPr>
            <w:tcW w:w="1826" w:type="dxa"/>
            <w:shd w:val="clear" w:color="auto" w:fill="C0C0C0"/>
          </w:tcPr>
          <w:p w14:paraId="0E0FBCA5">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474"/>
              <w:textAlignment w:val="baseline"/>
              <w:rPr>
                <w:rFonts w:ascii="宋体" w:hAnsi="宋体" w:eastAsia="宋体" w:cs="宋体"/>
                <w:sz w:val="21"/>
                <w:szCs w:val="21"/>
              </w:rPr>
            </w:pPr>
            <w:r>
              <w:rPr>
                <w:rFonts w:ascii="宋体" w:hAnsi="宋体" w:eastAsia="宋体" w:cs="宋体"/>
                <w:b/>
                <w:bCs/>
                <w:spacing w:val="-6"/>
                <w:sz w:val="21"/>
                <w:szCs w:val="21"/>
              </w:rPr>
              <w:t>责任人</w:t>
            </w:r>
          </w:p>
        </w:tc>
      </w:tr>
      <w:tr w14:paraId="650A27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7" w:hRule="atLeast"/>
        </w:trPr>
        <w:tc>
          <w:tcPr>
            <w:tcW w:w="1526" w:type="dxa"/>
          </w:tcPr>
          <w:p w14:paraId="6865FCBA">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p>
          <w:p w14:paraId="32B5FA71">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服务级别经理</w:t>
            </w:r>
          </w:p>
        </w:tc>
        <w:tc>
          <w:tcPr>
            <w:tcW w:w="5119" w:type="dxa"/>
          </w:tcPr>
          <w:p w14:paraId="5F5E39B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编制与更新服务目录</w:t>
            </w:r>
          </w:p>
          <w:p w14:paraId="5E6CFECB">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定义和维护一个有效的服务级别管理过程</w:t>
            </w:r>
          </w:p>
        </w:tc>
        <w:tc>
          <w:tcPr>
            <w:tcW w:w="1826" w:type="dxa"/>
          </w:tcPr>
          <w:p w14:paraId="5F080A1B">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运维部经理</w:t>
            </w:r>
          </w:p>
        </w:tc>
      </w:tr>
    </w:tbl>
    <w:p w14:paraId="289C44EA">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tbl>
      <w:tblPr>
        <w:tblStyle w:val="24"/>
        <w:tblW w:w="84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26"/>
        <w:gridCol w:w="5212"/>
        <w:gridCol w:w="1733"/>
      </w:tblGrid>
      <w:tr w14:paraId="64FB4D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1526" w:type="dxa"/>
            <w:shd w:val="clear" w:color="auto" w:fill="C0C0C0"/>
          </w:tcPr>
          <w:p w14:paraId="63C8DD70">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558"/>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212" w:type="dxa"/>
            <w:shd w:val="clear" w:color="auto" w:fill="C0C0C0"/>
          </w:tcPr>
          <w:p w14:paraId="390FB636">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2491"/>
              <w:textAlignment w:val="baseline"/>
              <w:rPr>
                <w:rFonts w:ascii="宋体" w:hAnsi="宋体" w:eastAsia="宋体" w:cs="宋体"/>
                <w:sz w:val="21"/>
                <w:szCs w:val="21"/>
              </w:rPr>
            </w:pPr>
            <w:bookmarkStart w:id="35" w:name="_GoBack"/>
            <w:bookmarkEnd w:id="35"/>
            <w:r>
              <w:rPr>
                <w:rFonts w:ascii="宋体" w:hAnsi="宋体" w:eastAsia="宋体" w:cs="宋体"/>
                <w:b/>
                <w:bCs/>
                <w:spacing w:val="-5"/>
                <w:sz w:val="21"/>
                <w:szCs w:val="21"/>
              </w:rPr>
              <w:t>职责</w:t>
            </w:r>
          </w:p>
        </w:tc>
        <w:tc>
          <w:tcPr>
            <w:tcW w:w="1733" w:type="dxa"/>
            <w:shd w:val="clear" w:color="auto" w:fill="C0C0C0"/>
          </w:tcPr>
          <w:p w14:paraId="7109CD39">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474"/>
              <w:textAlignment w:val="baseline"/>
              <w:rPr>
                <w:rFonts w:ascii="宋体" w:hAnsi="宋体" w:eastAsia="宋体" w:cs="宋体"/>
                <w:sz w:val="21"/>
                <w:szCs w:val="21"/>
              </w:rPr>
            </w:pPr>
            <w:r>
              <w:rPr>
                <w:rFonts w:ascii="宋体" w:hAnsi="宋体" w:eastAsia="宋体" w:cs="宋体"/>
                <w:b/>
                <w:bCs/>
                <w:spacing w:val="-6"/>
                <w:sz w:val="21"/>
                <w:szCs w:val="21"/>
              </w:rPr>
              <w:t>责任人</w:t>
            </w:r>
          </w:p>
        </w:tc>
      </w:tr>
      <w:tr w14:paraId="59EE93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3" w:hRule="atLeast"/>
        </w:trPr>
        <w:tc>
          <w:tcPr>
            <w:tcW w:w="1526" w:type="dxa"/>
          </w:tcPr>
          <w:p w14:paraId="6BB4C4D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212" w:type="dxa"/>
          </w:tcPr>
          <w:p w14:paraId="436F2B36">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rFonts w:ascii="宋体" w:hAnsi="宋体" w:eastAsia="宋体" w:cs="宋体"/>
                <w:szCs w:val="24"/>
              </w:rPr>
            </w:pPr>
            <w:r>
              <w:t>跟踪服务级别管理过程，包括监控和评审服务级别</w:t>
            </w:r>
          </w:p>
        </w:tc>
        <w:tc>
          <w:tcPr>
            <w:tcW w:w="1733" w:type="dxa"/>
          </w:tcPr>
          <w:p w14:paraId="4E3F03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692A4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87" w:hRule="atLeast"/>
        </w:trPr>
        <w:tc>
          <w:tcPr>
            <w:tcW w:w="1526" w:type="dxa"/>
            <w:vAlign w:val="center"/>
          </w:tcPr>
          <w:p w14:paraId="5F143308">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项目经理</w:t>
            </w:r>
          </w:p>
        </w:tc>
        <w:tc>
          <w:tcPr>
            <w:tcW w:w="5212" w:type="dxa"/>
            <w:vAlign w:val="center"/>
          </w:tcPr>
          <w:p w14:paraId="5DB84932">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识别客户需求，与客户协商谈判，负责签订和维护SLA</w:t>
            </w:r>
          </w:p>
          <w:p w14:paraId="5EA48B69">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依据SLA完成服务规划，完成服务部署</w:t>
            </w:r>
          </w:p>
          <w:p w14:paraId="24316C1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监测服务质量，落实服务改进措施</w:t>
            </w:r>
          </w:p>
          <w:p w14:paraId="5B4AA91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同客户进行评价，调整下一周期的SLA</w:t>
            </w:r>
          </w:p>
        </w:tc>
        <w:tc>
          <w:tcPr>
            <w:tcW w:w="1733" w:type="dxa"/>
            <w:vAlign w:val="center"/>
          </w:tcPr>
          <w:p w14:paraId="1F23CFF3">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运维项目经理</w:t>
            </w:r>
          </w:p>
        </w:tc>
      </w:tr>
    </w:tbl>
    <w:p w14:paraId="338DDB7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098"/>
      <w:r>
        <w:t>服务级别管理流程</w:t>
      </w:r>
      <w:bookmarkEnd w:id="7"/>
    </w:p>
    <w:p w14:paraId="7D19D42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9"/>
      <w:bookmarkEnd w:id="8"/>
      <w:bookmarkStart w:id="9" w:name="_Toc12802"/>
      <w:r>
        <w:t>流程原则</w:t>
      </w:r>
      <w:bookmarkEnd w:id="9"/>
    </w:p>
    <w:p w14:paraId="28F70AD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30"/>
      <w:bookmarkEnd w:id="10"/>
      <w:bookmarkStart w:id="11" w:name="_Toc23645"/>
      <w:r>
        <w:t>流程触发条件</w:t>
      </w:r>
      <w:bookmarkEnd w:id="11"/>
    </w:p>
    <w:p w14:paraId="48F33B86">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新的服务被批准时；</w:t>
      </w:r>
    </w:p>
    <w:p w14:paraId="2CFDC8E7">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变更的服务被批准时；</w:t>
      </w:r>
    </w:p>
    <w:p w14:paraId="0195C88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公司服务战略、运维能力及资源支持产生本质上的变动，需要更新服务级别时。</w:t>
      </w:r>
    </w:p>
    <w:p w14:paraId="6BB03A3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921"/>
      <w:r>
        <w:t>流程输入</w:t>
      </w:r>
      <w:bookmarkEnd w:id="12"/>
    </w:p>
    <w:p w14:paraId="6C545AA2">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客户需求；</w:t>
      </w:r>
    </w:p>
    <w:p w14:paraId="0708F6BB">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增加新服务情况；</w:t>
      </w:r>
    </w:p>
    <w:p w14:paraId="6844E37A">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服务变更情况；</w:t>
      </w:r>
    </w:p>
    <w:p w14:paraId="19CC2701">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资源支持变动情况；</w:t>
      </w:r>
    </w:p>
    <w:p w14:paraId="7137519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运维能力变动情况。</w:t>
      </w:r>
    </w:p>
    <w:p w14:paraId="0BD02F1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493"/>
      <w:r>
        <w:t>流程输出</w:t>
      </w:r>
      <w:bookmarkEnd w:id="13"/>
    </w:p>
    <w:p w14:paraId="29835B69">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服务目录；</w:t>
      </w:r>
    </w:p>
    <w:p w14:paraId="7713027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服务级别协议(SLA)；</w:t>
      </w:r>
    </w:p>
    <w:p w14:paraId="4D58FB1A">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服务合同（SC）；</w:t>
      </w:r>
    </w:p>
    <w:p w14:paraId="4C21A8B9">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支持合同(UC)；</w:t>
      </w:r>
    </w:p>
    <w:p w14:paraId="42B1AC22">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服务报告；</w:t>
      </w:r>
    </w:p>
    <w:p w14:paraId="51F5D60E">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服务级别评审记录。</w:t>
      </w:r>
    </w:p>
    <w:p w14:paraId="6097E6A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bookmark1"/>
      <w:bookmarkEnd w:id="14"/>
      <w:bookmarkStart w:id="15" w:name="_Toc13831"/>
      <w:r>
        <w:t>服务级别管理流程图</w:t>
      </w:r>
      <w:bookmarkEnd w:id="15"/>
    </w:p>
    <w:tbl>
      <w:tblPr>
        <w:tblStyle w:val="24"/>
        <w:tblW w:w="9164" w:type="dxa"/>
        <w:tblInd w:w="5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6"/>
        <w:gridCol w:w="1642"/>
        <w:gridCol w:w="1488"/>
        <w:gridCol w:w="1539"/>
        <w:gridCol w:w="2271"/>
        <w:gridCol w:w="1808"/>
      </w:tblGrid>
      <w:tr w14:paraId="4725EFC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8" w:hRule="atLeast"/>
        </w:trPr>
        <w:tc>
          <w:tcPr>
            <w:tcW w:w="9164" w:type="dxa"/>
            <w:gridSpan w:val="6"/>
          </w:tcPr>
          <w:p w14:paraId="6CA920E1">
            <w:pPr>
              <w:keepNext w:val="0"/>
              <w:keepLines w:val="0"/>
              <w:pageBreakBefore w:val="0"/>
              <w:widowControl w:val="0"/>
              <w:kinsoku w:val="0"/>
              <w:wordWrap/>
              <w:overflowPunct/>
              <w:topLinePunct w:val="0"/>
              <w:autoSpaceDE w:val="0"/>
              <w:autoSpaceDN w:val="0"/>
              <w:bidi w:val="0"/>
              <w:adjustRightInd w:val="0"/>
              <w:snapToGrid w:val="0"/>
              <w:spacing w:before="79" w:line="221" w:lineRule="auto"/>
              <w:ind w:left="45"/>
              <w:textAlignment w:val="baseline"/>
              <w:rPr>
                <w:rFonts w:ascii="宋体" w:hAnsi="宋体" w:eastAsia="宋体" w:cs="宋体"/>
                <w:sz w:val="30"/>
                <w:szCs w:val="30"/>
              </w:rPr>
            </w:pPr>
            <w:r>
              <w:drawing>
                <wp:anchor distT="0" distB="0" distL="0" distR="0" simplePos="0" relativeHeight="251659264" behindDoc="1" locked="0" layoutInCell="1" allowOverlap="1">
                  <wp:simplePos x="0" y="0"/>
                  <wp:positionH relativeFrom="column">
                    <wp:posOffset>4445</wp:posOffset>
                  </wp:positionH>
                  <wp:positionV relativeFrom="paragraph">
                    <wp:posOffset>635</wp:posOffset>
                  </wp:positionV>
                  <wp:extent cx="5805170" cy="5237480"/>
                  <wp:effectExtent l="0" t="0" r="0" b="0"/>
                  <wp:wrapNone/>
                  <wp:docPr id="56" name="IM 56"/>
                  <wp:cNvGraphicFramePr/>
                  <a:graphic xmlns:a="http://schemas.openxmlformats.org/drawingml/2006/main">
                    <a:graphicData uri="http://schemas.openxmlformats.org/drawingml/2006/picture">
                      <pic:pic xmlns:pic="http://schemas.openxmlformats.org/drawingml/2006/picture">
                        <pic:nvPicPr>
                          <pic:cNvPr id="56" name="IM 56"/>
                          <pic:cNvPicPr/>
                        </pic:nvPicPr>
                        <pic:blipFill>
                          <a:blip r:embed="rId7"/>
                          <a:stretch>
                            <a:fillRect/>
                          </a:stretch>
                        </pic:blipFill>
                        <pic:spPr>
                          <a:xfrm>
                            <a:off x="0" y="0"/>
                            <a:ext cx="5804969" cy="5237548"/>
                          </a:xfrm>
                          <a:prstGeom prst="rect">
                            <a:avLst/>
                          </a:prstGeom>
                        </pic:spPr>
                      </pic:pic>
                    </a:graphicData>
                  </a:graphic>
                </wp:anchor>
              </w:drawing>
            </w:r>
            <w:r>
              <w:rPr>
                <w:rFonts w:ascii="宋体" w:hAnsi="宋体" w:eastAsia="宋体" w:cs="宋体"/>
                <w:b/>
                <w:bCs/>
                <w:spacing w:val="-24"/>
                <w:w w:val="93"/>
                <w:sz w:val="30"/>
                <w:szCs w:val="30"/>
              </w:rPr>
              <w:t>服务级别管理流程</w:t>
            </w:r>
          </w:p>
        </w:tc>
      </w:tr>
      <w:tr w14:paraId="65B856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6" w:hRule="atLeast"/>
        </w:trPr>
        <w:tc>
          <w:tcPr>
            <w:tcW w:w="416" w:type="dxa"/>
            <w:vMerge w:val="restart"/>
            <w:tcBorders>
              <w:top w:val="single" w:color="000000" w:sz="4" w:space="0"/>
              <w:left w:val="single" w:color="000000" w:sz="4" w:space="0"/>
              <w:bottom w:val="nil"/>
              <w:right w:val="single" w:color="000000" w:sz="4" w:space="0"/>
            </w:tcBorders>
            <w:textDirection w:val="btLr"/>
          </w:tcPr>
          <w:p w14:paraId="52285C4F">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1258"/>
              <w:textAlignment w:val="baseline"/>
              <w:rPr>
                <w:rFonts w:ascii="宋体" w:hAnsi="宋体" w:eastAsia="宋体" w:cs="宋体"/>
                <w:sz w:val="16"/>
                <w:szCs w:val="16"/>
              </w:rPr>
            </w:pPr>
            <w:r>
              <w:rPr>
                <w:rFonts w:ascii="宋体" w:hAnsi="宋体" w:eastAsia="宋体" w:cs="宋体"/>
                <w:spacing w:val="15"/>
                <w:w w:val="116"/>
                <w:sz w:val="16"/>
                <w:szCs w:val="16"/>
              </w:rPr>
              <w:t>服务级别定义阶段</w:t>
            </w:r>
          </w:p>
        </w:tc>
        <w:tc>
          <w:tcPr>
            <w:tcW w:w="1642" w:type="dxa"/>
            <w:tcBorders>
              <w:left w:val="single" w:color="000000" w:sz="4" w:space="0"/>
            </w:tcBorders>
          </w:tcPr>
          <w:p w14:paraId="58039E5F">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648"/>
              <w:textAlignment w:val="baseline"/>
              <w:rPr>
                <w:rFonts w:ascii="宋体" w:hAnsi="宋体" w:eastAsia="宋体" w:cs="宋体"/>
                <w:sz w:val="20"/>
                <w:szCs w:val="20"/>
              </w:rPr>
            </w:pPr>
            <w:r>
              <w:rPr>
                <w:rFonts w:ascii="宋体" w:hAnsi="宋体" w:eastAsia="宋体" w:cs="宋体"/>
                <w:spacing w:val="-13"/>
                <w:w w:val="97"/>
                <w:sz w:val="20"/>
                <w:szCs w:val="20"/>
              </w:rPr>
              <w:t>输入</w:t>
            </w:r>
          </w:p>
        </w:tc>
        <w:tc>
          <w:tcPr>
            <w:tcW w:w="3027" w:type="dxa"/>
            <w:gridSpan w:val="2"/>
          </w:tcPr>
          <w:p w14:paraId="0827C5DB">
            <w:pPr>
              <w:keepNext w:val="0"/>
              <w:keepLines w:val="0"/>
              <w:pageBreakBefore w:val="0"/>
              <w:widowControl w:val="0"/>
              <w:kinsoku w:val="0"/>
              <w:wordWrap/>
              <w:overflowPunct/>
              <w:topLinePunct w:val="0"/>
              <w:autoSpaceDE w:val="0"/>
              <w:autoSpaceDN w:val="0"/>
              <w:bidi w:val="0"/>
              <w:adjustRightInd w:val="0"/>
              <w:snapToGrid w:val="0"/>
              <w:spacing w:before="181" w:line="222" w:lineRule="auto"/>
              <w:ind w:left="1179"/>
              <w:textAlignment w:val="baseline"/>
              <w:rPr>
                <w:rFonts w:ascii="宋体" w:hAnsi="宋体" w:eastAsia="宋体" w:cs="宋体"/>
                <w:sz w:val="20"/>
                <w:szCs w:val="20"/>
              </w:rPr>
            </w:pPr>
            <w:r>
              <w:rPr>
                <w:rFonts w:hint="eastAsia" w:ascii="宋体" w:hAnsi="宋体" w:cs="宋体"/>
                <w:spacing w:val="-26"/>
                <w:sz w:val="20"/>
                <w:szCs w:val="20"/>
                <w:lang w:val="en-US" w:eastAsia="zh-CN"/>
              </w:rPr>
              <w:t>运维</w:t>
            </w:r>
            <w:r>
              <w:rPr>
                <w:rFonts w:ascii="宋体" w:hAnsi="宋体" w:eastAsia="宋体" w:cs="宋体"/>
                <w:spacing w:val="-26"/>
                <w:sz w:val="20"/>
                <w:szCs w:val="20"/>
              </w:rPr>
              <w:t>项目经理</w:t>
            </w:r>
          </w:p>
        </w:tc>
        <w:tc>
          <w:tcPr>
            <w:tcW w:w="2271" w:type="dxa"/>
          </w:tcPr>
          <w:p w14:paraId="2B55B423">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630"/>
              <w:textAlignment w:val="baseline"/>
              <w:rPr>
                <w:rFonts w:ascii="宋体" w:hAnsi="宋体" w:eastAsia="宋体" w:cs="宋体"/>
                <w:sz w:val="20"/>
                <w:szCs w:val="20"/>
              </w:rPr>
            </w:pPr>
            <w:r>
              <w:rPr>
                <w:rFonts w:ascii="宋体" w:hAnsi="宋体" w:eastAsia="宋体" w:cs="宋体"/>
                <w:spacing w:val="-17"/>
                <w:w w:val="95"/>
                <w:sz w:val="20"/>
                <w:szCs w:val="20"/>
              </w:rPr>
              <w:t>服务级别经理</w:t>
            </w:r>
          </w:p>
        </w:tc>
        <w:tc>
          <w:tcPr>
            <w:tcW w:w="1808" w:type="dxa"/>
          </w:tcPr>
          <w:p w14:paraId="4A9E890D">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732"/>
              <w:textAlignment w:val="baseline"/>
              <w:rPr>
                <w:rFonts w:ascii="宋体" w:hAnsi="宋体" w:eastAsia="宋体" w:cs="宋体"/>
                <w:sz w:val="20"/>
                <w:szCs w:val="20"/>
              </w:rPr>
            </w:pPr>
            <w:r>
              <w:rPr>
                <w:rFonts w:ascii="宋体" w:hAnsi="宋体" w:eastAsia="宋体" w:cs="宋体"/>
                <w:spacing w:val="-19"/>
                <w:sz w:val="20"/>
                <w:szCs w:val="20"/>
              </w:rPr>
              <w:t>输出</w:t>
            </w:r>
          </w:p>
        </w:tc>
      </w:tr>
      <w:tr w14:paraId="6B001F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189" w:hRule="atLeast"/>
        </w:trPr>
        <w:tc>
          <w:tcPr>
            <w:tcW w:w="416" w:type="dxa"/>
            <w:vMerge w:val="continue"/>
            <w:tcBorders>
              <w:top w:val="nil"/>
              <w:left w:val="single" w:color="000000" w:sz="4" w:space="0"/>
              <w:bottom w:val="nil"/>
              <w:right w:val="single" w:color="000000" w:sz="4" w:space="0"/>
            </w:tcBorders>
            <w:textDirection w:val="btLr"/>
          </w:tcPr>
          <w:p w14:paraId="4E0C09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42" w:type="dxa"/>
            <w:vMerge w:val="restart"/>
            <w:tcBorders>
              <w:left w:val="single" w:color="000000" w:sz="4" w:space="0"/>
              <w:bottom w:val="nil"/>
            </w:tcBorders>
          </w:tcPr>
          <w:p w14:paraId="0317CDBF">
            <w:pPr>
              <w:pStyle w:val="25"/>
              <w:keepNext w:val="0"/>
              <w:keepLines w:val="0"/>
              <w:pageBreakBefore w:val="0"/>
              <w:widowControl w:val="0"/>
              <w:kinsoku w:val="0"/>
              <w:wordWrap/>
              <w:overflowPunct/>
              <w:topLinePunct w:val="0"/>
              <w:autoSpaceDE w:val="0"/>
              <w:autoSpaceDN w:val="0"/>
              <w:bidi w:val="0"/>
              <w:adjustRightInd w:val="0"/>
              <w:snapToGrid w:val="0"/>
              <w:spacing w:line="357" w:lineRule="auto"/>
              <w:textAlignment w:val="baseline"/>
            </w:pPr>
          </w:p>
          <w:p w14:paraId="6BD652D5">
            <w:pPr>
              <w:pStyle w:val="25"/>
              <w:keepNext w:val="0"/>
              <w:keepLines w:val="0"/>
              <w:pageBreakBefore w:val="0"/>
              <w:widowControl w:val="0"/>
              <w:kinsoku w:val="0"/>
              <w:wordWrap/>
              <w:overflowPunct/>
              <w:topLinePunct w:val="0"/>
              <w:autoSpaceDE w:val="0"/>
              <w:autoSpaceDN w:val="0"/>
              <w:bidi w:val="0"/>
              <w:adjustRightInd w:val="0"/>
              <w:snapToGrid w:val="0"/>
              <w:spacing w:line="358" w:lineRule="auto"/>
              <w:textAlignment w:val="baseline"/>
            </w:pPr>
          </w:p>
          <w:p w14:paraId="751D01E4">
            <w:pPr>
              <w:keepNext w:val="0"/>
              <w:keepLines w:val="0"/>
              <w:pageBreakBefore w:val="0"/>
              <w:widowControl w:val="0"/>
              <w:kinsoku w:val="0"/>
              <w:wordWrap/>
              <w:overflowPunct/>
              <w:topLinePunct w:val="0"/>
              <w:autoSpaceDE w:val="0"/>
              <w:autoSpaceDN w:val="0"/>
              <w:bidi w:val="0"/>
              <w:adjustRightInd w:val="0"/>
              <w:snapToGrid w:val="0"/>
              <w:spacing w:before="43" w:line="227" w:lineRule="auto"/>
              <w:ind w:left="591"/>
              <w:textAlignment w:val="baseline"/>
              <w:rPr>
                <w:rFonts w:ascii="宋体" w:hAnsi="宋体" w:eastAsia="宋体" w:cs="宋体"/>
                <w:sz w:val="13"/>
                <w:szCs w:val="13"/>
              </w:rPr>
            </w:pPr>
            <w:r>
              <w:rPr>
                <w:rFonts w:ascii="宋体" w:hAnsi="宋体" w:eastAsia="宋体" w:cs="宋体"/>
                <w:spacing w:val="-13"/>
                <w:w w:val="99"/>
                <w:sz w:val="13"/>
                <w:szCs w:val="13"/>
              </w:rPr>
              <w:t>客户需求</w:t>
            </w:r>
          </w:p>
          <w:p w14:paraId="11B35CC3">
            <w:pPr>
              <w:keepNext w:val="0"/>
              <w:keepLines w:val="0"/>
              <w:pageBreakBefore w:val="0"/>
              <w:widowControl w:val="0"/>
              <w:kinsoku w:val="0"/>
              <w:wordWrap/>
              <w:overflowPunct/>
              <w:topLinePunct w:val="0"/>
              <w:autoSpaceDE w:val="0"/>
              <w:autoSpaceDN w:val="0"/>
              <w:bidi w:val="0"/>
              <w:adjustRightInd w:val="0"/>
              <w:snapToGrid w:val="0"/>
              <w:spacing w:before="17" w:line="226" w:lineRule="auto"/>
              <w:ind w:left="590"/>
              <w:textAlignment w:val="baseline"/>
              <w:rPr>
                <w:rFonts w:ascii="宋体" w:hAnsi="宋体" w:eastAsia="宋体" w:cs="宋体"/>
                <w:sz w:val="13"/>
                <w:szCs w:val="13"/>
              </w:rPr>
            </w:pPr>
            <w:r>
              <w:rPr>
                <w:rFonts w:ascii="宋体" w:hAnsi="宋体" w:eastAsia="宋体" w:cs="宋体"/>
                <w:spacing w:val="-10"/>
                <w:w w:val="97"/>
                <w:sz w:val="13"/>
                <w:szCs w:val="13"/>
              </w:rPr>
              <w:t>服务变更</w:t>
            </w:r>
          </w:p>
          <w:p w14:paraId="119D7E1D">
            <w:pPr>
              <w:keepNext w:val="0"/>
              <w:keepLines w:val="0"/>
              <w:pageBreakBefore w:val="0"/>
              <w:widowControl w:val="0"/>
              <w:kinsoku w:val="0"/>
              <w:wordWrap/>
              <w:overflowPunct/>
              <w:topLinePunct w:val="0"/>
              <w:autoSpaceDE w:val="0"/>
              <w:autoSpaceDN w:val="0"/>
              <w:bidi w:val="0"/>
              <w:adjustRightInd w:val="0"/>
              <w:snapToGrid w:val="0"/>
              <w:spacing w:before="18" w:line="226" w:lineRule="auto"/>
              <w:ind w:left="477"/>
              <w:textAlignment w:val="baseline"/>
              <w:rPr>
                <w:rFonts w:ascii="宋体" w:hAnsi="宋体" w:eastAsia="宋体" w:cs="宋体"/>
                <w:sz w:val="13"/>
                <w:szCs w:val="13"/>
              </w:rPr>
            </w:pPr>
            <w:r>
              <w:rPr>
                <w:rFonts w:ascii="宋体" w:hAnsi="宋体" w:eastAsia="宋体" w:cs="宋体"/>
                <w:spacing w:val="-11"/>
                <w:w w:val="97"/>
                <w:sz w:val="13"/>
                <w:szCs w:val="13"/>
              </w:rPr>
              <w:t>服务能力变动</w:t>
            </w:r>
          </w:p>
          <w:p w14:paraId="2D0A40C6">
            <w:pPr>
              <w:keepNext w:val="0"/>
              <w:keepLines w:val="0"/>
              <w:pageBreakBefore w:val="0"/>
              <w:widowControl w:val="0"/>
              <w:kinsoku w:val="0"/>
              <w:wordWrap/>
              <w:overflowPunct/>
              <w:topLinePunct w:val="0"/>
              <w:autoSpaceDE w:val="0"/>
              <w:autoSpaceDN w:val="0"/>
              <w:bidi w:val="0"/>
              <w:adjustRightInd w:val="0"/>
              <w:snapToGrid w:val="0"/>
              <w:spacing w:before="17" w:line="252" w:lineRule="auto"/>
              <w:ind w:left="589" w:right="482" w:hanging="108"/>
              <w:textAlignment w:val="baseline"/>
              <w:rPr>
                <w:rFonts w:ascii="宋体" w:hAnsi="宋体" w:eastAsia="宋体" w:cs="宋体"/>
                <w:sz w:val="13"/>
                <w:szCs w:val="13"/>
              </w:rPr>
            </w:pPr>
            <w:r>
              <w:rPr>
                <w:rFonts w:ascii="宋体" w:hAnsi="宋体" w:eastAsia="宋体" w:cs="宋体"/>
                <w:spacing w:val="-11"/>
                <w:w w:val="94"/>
                <w:sz w:val="13"/>
                <w:szCs w:val="13"/>
              </w:rPr>
              <w:t>资源支持变动</w:t>
            </w:r>
            <w:r>
              <w:rPr>
                <w:rFonts w:ascii="宋体" w:hAnsi="宋体" w:eastAsia="宋体" w:cs="宋体"/>
                <w:spacing w:val="-10"/>
                <w:w w:val="97"/>
                <w:sz w:val="13"/>
                <w:szCs w:val="13"/>
              </w:rPr>
              <w:t>服务增加</w:t>
            </w:r>
          </w:p>
          <w:p w14:paraId="141D9096">
            <w:pPr>
              <w:keepNext w:val="0"/>
              <w:keepLines w:val="0"/>
              <w:pageBreakBefore w:val="0"/>
              <w:widowControl w:val="0"/>
              <w:kinsoku w:val="0"/>
              <w:wordWrap/>
              <w:overflowPunct/>
              <w:topLinePunct w:val="0"/>
              <w:autoSpaceDE w:val="0"/>
              <w:autoSpaceDN w:val="0"/>
              <w:bidi w:val="0"/>
              <w:adjustRightInd w:val="0"/>
              <w:snapToGrid w:val="0"/>
              <w:spacing w:line="226" w:lineRule="auto"/>
              <w:ind w:left="421"/>
              <w:textAlignment w:val="baseline"/>
              <w:rPr>
                <w:rFonts w:ascii="宋体" w:hAnsi="宋体" w:eastAsia="宋体" w:cs="宋体"/>
                <w:sz w:val="13"/>
                <w:szCs w:val="13"/>
              </w:rPr>
            </w:pPr>
            <w:r>
              <w:rPr>
                <w:rFonts w:ascii="宋体" w:hAnsi="宋体" w:eastAsia="宋体" w:cs="宋体"/>
                <w:spacing w:val="-16"/>
                <w:sz w:val="13"/>
                <w:szCs w:val="13"/>
              </w:rPr>
              <w:t>组织级服务目录</w:t>
            </w:r>
          </w:p>
        </w:tc>
        <w:tc>
          <w:tcPr>
            <w:tcW w:w="3027" w:type="dxa"/>
            <w:gridSpan w:val="2"/>
            <w:tcBorders>
              <w:bottom w:val="nil"/>
            </w:tcBorders>
          </w:tcPr>
          <w:p w14:paraId="187403B2">
            <w:pPr>
              <w:pStyle w:val="25"/>
              <w:keepNext w:val="0"/>
              <w:keepLines w:val="0"/>
              <w:pageBreakBefore w:val="0"/>
              <w:widowControl w:val="0"/>
              <w:kinsoku w:val="0"/>
              <w:wordWrap/>
              <w:overflowPunct/>
              <w:topLinePunct w:val="0"/>
              <w:autoSpaceDE w:val="0"/>
              <w:autoSpaceDN w:val="0"/>
              <w:bidi w:val="0"/>
              <w:adjustRightInd w:val="0"/>
              <w:snapToGrid w:val="0"/>
              <w:spacing w:line="297" w:lineRule="auto"/>
              <w:textAlignment w:val="baseline"/>
            </w:pPr>
          </w:p>
          <w:p w14:paraId="4DBF5034">
            <w:pPr>
              <w:pStyle w:val="25"/>
              <w:keepNext w:val="0"/>
              <w:keepLines w:val="0"/>
              <w:pageBreakBefore w:val="0"/>
              <w:widowControl w:val="0"/>
              <w:kinsoku w:val="0"/>
              <w:wordWrap/>
              <w:overflowPunct/>
              <w:topLinePunct w:val="0"/>
              <w:autoSpaceDE w:val="0"/>
              <w:autoSpaceDN w:val="0"/>
              <w:bidi w:val="0"/>
              <w:adjustRightInd w:val="0"/>
              <w:snapToGrid w:val="0"/>
              <w:spacing w:line="298" w:lineRule="auto"/>
              <w:textAlignment w:val="baseline"/>
            </w:pPr>
          </w:p>
          <w:p w14:paraId="52BE7765">
            <w:pPr>
              <w:keepNext w:val="0"/>
              <w:keepLines w:val="0"/>
              <w:pageBreakBefore w:val="0"/>
              <w:widowControl w:val="0"/>
              <w:kinsoku w:val="0"/>
              <w:wordWrap/>
              <w:overflowPunct/>
              <w:topLinePunct w:val="0"/>
              <w:autoSpaceDE w:val="0"/>
              <w:autoSpaceDN w:val="0"/>
              <w:bidi w:val="0"/>
              <w:adjustRightInd w:val="0"/>
              <w:snapToGrid w:val="0"/>
              <w:spacing w:before="42" w:line="227" w:lineRule="auto"/>
              <w:ind w:left="1887"/>
              <w:textAlignment w:val="baseline"/>
              <w:rPr>
                <w:rFonts w:ascii="宋体" w:hAnsi="宋体" w:eastAsia="宋体" w:cs="宋体"/>
                <w:sz w:val="13"/>
                <w:szCs w:val="13"/>
              </w:rPr>
            </w:pPr>
            <w:r>
              <w:rPr>
                <w:rFonts w:ascii="宋体" w:hAnsi="宋体" w:eastAsia="宋体" w:cs="宋体"/>
                <w:spacing w:val="-12"/>
                <w:w w:val="97"/>
                <w:sz w:val="13"/>
                <w:szCs w:val="13"/>
              </w:rPr>
              <w:t>识别客户需求</w:t>
            </w:r>
          </w:p>
          <w:p w14:paraId="3BB1068F">
            <w:pPr>
              <w:pStyle w:val="25"/>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53A156B2">
            <w:pPr>
              <w:pStyle w:val="25"/>
              <w:keepNext w:val="0"/>
              <w:keepLines w:val="0"/>
              <w:pageBreakBefore w:val="0"/>
              <w:widowControl w:val="0"/>
              <w:kinsoku w:val="0"/>
              <w:wordWrap/>
              <w:overflowPunct/>
              <w:topLinePunct w:val="0"/>
              <w:autoSpaceDE w:val="0"/>
              <w:autoSpaceDN w:val="0"/>
              <w:bidi w:val="0"/>
              <w:adjustRightInd w:val="0"/>
              <w:snapToGrid w:val="0"/>
              <w:spacing w:line="254" w:lineRule="auto"/>
              <w:textAlignment w:val="baseline"/>
            </w:pPr>
          </w:p>
          <w:p w14:paraId="26B827EF">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1889"/>
              <w:textAlignment w:val="baseline"/>
              <w:rPr>
                <w:rFonts w:ascii="宋体" w:hAnsi="宋体" w:eastAsia="宋体" w:cs="宋体"/>
                <w:sz w:val="13"/>
                <w:szCs w:val="13"/>
              </w:rPr>
            </w:pPr>
            <w:r>
              <w:rPr>
                <w:rFonts w:ascii="宋体" w:hAnsi="宋体" w:eastAsia="宋体" w:cs="宋体"/>
                <w:spacing w:val="-12"/>
                <w:w w:val="97"/>
                <w:sz w:val="13"/>
                <w:szCs w:val="13"/>
              </w:rPr>
              <w:t>定义服务级别</w:t>
            </w:r>
          </w:p>
          <w:p w14:paraId="7DEC20C6">
            <w:pPr>
              <w:keepNext w:val="0"/>
              <w:keepLines w:val="0"/>
              <w:pageBreakBefore w:val="0"/>
              <w:widowControl w:val="0"/>
              <w:kinsoku w:val="0"/>
              <w:wordWrap/>
              <w:overflowPunct/>
              <w:topLinePunct w:val="0"/>
              <w:autoSpaceDE w:val="0"/>
              <w:autoSpaceDN w:val="0"/>
              <w:bidi w:val="0"/>
              <w:adjustRightInd w:val="0"/>
              <w:snapToGrid w:val="0"/>
              <w:spacing w:before="117" w:line="227" w:lineRule="auto"/>
              <w:ind w:left="405"/>
              <w:textAlignment w:val="baseline"/>
              <w:rPr>
                <w:rFonts w:ascii="宋体" w:hAnsi="宋体" w:eastAsia="宋体" w:cs="宋体"/>
                <w:sz w:val="13"/>
                <w:szCs w:val="13"/>
              </w:rPr>
            </w:pPr>
            <w:r>
              <w:rPr>
                <w:rFonts w:ascii="宋体" w:hAnsi="宋体" w:eastAsia="宋体" w:cs="宋体"/>
                <w:spacing w:val="-13"/>
                <w:w w:val="98"/>
                <w:sz w:val="13"/>
                <w:szCs w:val="13"/>
              </w:rPr>
              <w:t>调整下一周期的</w:t>
            </w:r>
          </w:p>
          <w:p w14:paraId="4265B11A">
            <w:pPr>
              <w:keepNext w:val="0"/>
              <w:keepLines w:val="0"/>
              <w:pageBreakBefore w:val="0"/>
              <w:widowControl w:val="0"/>
              <w:kinsoku w:val="0"/>
              <w:wordWrap/>
              <w:overflowPunct/>
              <w:topLinePunct w:val="0"/>
              <w:autoSpaceDE w:val="0"/>
              <w:autoSpaceDN w:val="0"/>
              <w:bidi w:val="0"/>
              <w:adjustRightInd w:val="0"/>
              <w:snapToGrid w:val="0"/>
              <w:spacing w:before="23" w:line="187" w:lineRule="auto"/>
              <w:ind w:left="716"/>
              <w:textAlignment w:val="baseline"/>
              <w:rPr>
                <w:rFonts w:ascii="宋体" w:hAnsi="宋体" w:eastAsia="宋体" w:cs="宋体"/>
                <w:sz w:val="13"/>
                <w:szCs w:val="13"/>
              </w:rPr>
            </w:pPr>
            <w:r>
              <w:rPr>
                <w:rFonts w:ascii="宋体" w:hAnsi="宋体" w:eastAsia="宋体" w:cs="宋体"/>
                <w:spacing w:val="-8"/>
                <w:sz w:val="13"/>
                <w:szCs w:val="13"/>
              </w:rPr>
              <w:t>SLA</w:t>
            </w:r>
          </w:p>
        </w:tc>
        <w:tc>
          <w:tcPr>
            <w:tcW w:w="2271" w:type="dxa"/>
            <w:vMerge w:val="restart"/>
            <w:tcBorders>
              <w:bottom w:val="nil"/>
            </w:tcBorders>
          </w:tcPr>
          <w:p w14:paraId="75FAF7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08" w:type="dxa"/>
            <w:vMerge w:val="restart"/>
            <w:tcBorders>
              <w:bottom w:val="nil"/>
            </w:tcBorders>
          </w:tcPr>
          <w:p w14:paraId="68B51092">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37833A43">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4D25686E">
            <w:pPr>
              <w:keepNext w:val="0"/>
              <w:keepLines w:val="0"/>
              <w:pageBreakBefore w:val="0"/>
              <w:widowControl w:val="0"/>
              <w:kinsoku w:val="0"/>
              <w:wordWrap/>
              <w:overflowPunct/>
              <w:topLinePunct w:val="0"/>
              <w:autoSpaceDE w:val="0"/>
              <w:autoSpaceDN w:val="0"/>
              <w:bidi w:val="0"/>
              <w:adjustRightInd w:val="0"/>
              <w:snapToGrid w:val="0"/>
              <w:spacing w:before="43" w:line="226" w:lineRule="auto"/>
              <w:ind w:left="481"/>
              <w:textAlignment w:val="baseline"/>
              <w:rPr>
                <w:rFonts w:ascii="宋体" w:hAnsi="宋体" w:eastAsia="宋体" w:cs="宋体"/>
                <w:sz w:val="13"/>
                <w:szCs w:val="13"/>
              </w:rPr>
            </w:pPr>
            <w:r>
              <w:rPr>
                <w:rFonts w:ascii="宋体" w:hAnsi="宋体" w:eastAsia="宋体" w:cs="宋体"/>
                <w:spacing w:val="-16"/>
                <w:sz w:val="13"/>
                <w:szCs w:val="13"/>
              </w:rPr>
              <w:t>项目级服务目录</w:t>
            </w:r>
          </w:p>
          <w:p w14:paraId="49E12915">
            <w:pPr>
              <w:pStyle w:val="25"/>
              <w:keepNext w:val="0"/>
              <w:keepLines w:val="0"/>
              <w:pageBreakBefore w:val="0"/>
              <w:widowControl w:val="0"/>
              <w:kinsoku w:val="0"/>
              <w:wordWrap/>
              <w:overflowPunct/>
              <w:topLinePunct w:val="0"/>
              <w:autoSpaceDE w:val="0"/>
              <w:autoSpaceDN w:val="0"/>
              <w:bidi w:val="0"/>
              <w:adjustRightInd w:val="0"/>
              <w:snapToGrid w:val="0"/>
              <w:spacing w:line="255" w:lineRule="auto"/>
              <w:textAlignment w:val="baseline"/>
            </w:pPr>
          </w:p>
          <w:p w14:paraId="58911804">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041F2E01">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536"/>
              <w:textAlignment w:val="baseline"/>
              <w:rPr>
                <w:rFonts w:ascii="宋体" w:hAnsi="宋体" w:eastAsia="宋体" w:cs="宋体"/>
                <w:sz w:val="13"/>
                <w:szCs w:val="13"/>
              </w:rPr>
            </w:pPr>
            <w:r>
              <w:rPr>
                <w:rFonts w:ascii="宋体" w:hAnsi="宋体" w:eastAsia="宋体" w:cs="宋体"/>
                <w:spacing w:val="-11"/>
                <w:w w:val="97"/>
                <w:sz w:val="13"/>
                <w:szCs w:val="13"/>
              </w:rPr>
              <w:t>服务级别协议</w:t>
            </w:r>
          </w:p>
          <w:p w14:paraId="6C8CE6C3">
            <w:pPr>
              <w:pStyle w:val="25"/>
              <w:keepNext w:val="0"/>
              <w:keepLines w:val="0"/>
              <w:pageBreakBefore w:val="0"/>
              <w:widowControl w:val="0"/>
              <w:kinsoku w:val="0"/>
              <w:wordWrap/>
              <w:overflowPunct/>
              <w:topLinePunct w:val="0"/>
              <w:autoSpaceDE w:val="0"/>
              <w:autoSpaceDN w:val="0"/>
              <w:bidi w:val="0"/>
              <w:adjustRightInd w:val="0"/>
              <w:snapToGrid w:val="0"/>
              <w:spacing w:line="279" w:lineRule="auto"/>
              <w:textAlignment w:val="baseline"/>
            </w:pPr>
          </w:p>
          <w:p w14:paraId="38C0960D">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pacing w:val="-14"/>
                <w:sz w:val="13"/>
                <w:szCs w:val="13"/>
              </w:rPr>
            </w:pPr>
          </w:p>
          <w:p w14:paraId="7B8B7C3C">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z w:val="13"/>
                <w:szCs w:val="13"/>
              </w:rPr>
            </w:pPr>
            <w:r>
              <w:rPr>
                <w:rFonts w:ascii="宋体" w:hAnsi="宋体" w:eastAsia="宋体" w:cs="宋体"/>
                <w:spacing w:val="-14"/>
                <w:sz w:val="13"/>
                <w:szCs w:val="13"/>
              </w:rPr>
              <w:t>服务合同</w:t>
            </w:r>
          </w:p>
          <w:p w14:paraId="0933897A">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545EC114">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pacing w:val="-14"/>
                <w:sz w:val="13"/>
                <w:szCs w:val="13"/>
              </w:rPr>
            </w:pPr>
          </w:p>
          <w:p w14:paraId="2F7A2FF1">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z w:val="13"/>
                <w:szCs w:val="13"/>
              </w:rPr>
            </w:pPr>
            <w:r>
              <w:rPr>
                <w:rFonts w:ascii="宋体" w:hAnsi="宋体" w:eastAsia="宋体" w:cs="宋体"/>
                <w:spacing w:val="-14"/>
                <w:sz w:val="13"/>
                <w:szCs w:val="13"/>
              </w:rPr>
              <w:t>支持合同</w:t>
            </w:r>
          </w:p>
        </w:tc>
      </w:tr>
      <w:tr w14:paraId="363584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323" w:hRule="atLeast"/>
        </w:trPr>
        <w:tc>
          <w:tcPr>
            <w:tcW w:w="416" w:type="dxa"/>
            <w:vMerge w:val="continue"/>
            <w:tcBorders>
              <w:top w:val="nil"/>
              <w:left w:val="single" w:color="000000" w:sz="4" w:space="0"/>
              <w:bottom w:val="dashed" w:color="000000" w:sz="14" w:space="0"/>
              <w:right w:val="single" w:color="000000" w:sz="4" w:space="0"/>
            </w:tcBorders>
            <w:textDirection w:val="btLr"/>
          </w:tcPr>
          <w:p w14:paraId="3CFD43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42" w:type="dxa"/>
            <w:vMerge w:val="continue"/>
            <w:tcBorders>
              <w:top w:val="nil"/>
              <w:left w:val="single" w:color="000000" w:sz="4" w:space="0"/>
              <w:bottom w:val="dashed" w:color="000000" w:sz="14" w:space="0"/>
            </w:tcBorders>
          </w:tcPr>
          <w:p w14:paraId="702273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88" w:type="dxa"/>
            <w:tcBorders>
              <w:top w:val="nil"/>
              <w:bottom w:val="dashed" w:color="000000" w:sz="14" w:space="0"/>
              <w:right w:val="nil"/>
            </w:tcBorders>
          </w:tcPr>
          <w:p w14:paraId="172BD00B">
            <w:pPr>
              <w:pStyle w:val="25"/>
              <w:keepNext w:val="0"/>
              <w:keepLines w:val="0"/>
              <w:pageBreakBefore w:val="0"/>
              <w:widowControl w:val="0"/>
              <w:kinsoku w:val="0"/>
              <w:wordWrap/>
              <w:overflowPunct/>
              <w:topLinePunct w:val="0"/>
              <w:autoSpaceDE w:val="0"/>
              <w:autoSpaceDN w:val="0"/>
              <w:bidi w:val="0"/>
              <w:adjustRightInd w:val="0"/>
              <w:snapToGrid w:val="0"/>
              <w:spacing w:line="349" w:lineRule="auto"/>
              <w:textAlignment w:val="baseline"/>
            </w:pPr>
          </w:p>
          <w:p w14:paraId="6B018EF4">
            <w:pPr>
              <w:keepNext w:val="0"/>
              <w:keepLines w:val="0"/>
              <w:pageBreakBefore w:val="0"/>
              <w:widowControl w:val="0"/>
              <w:kinsoku w:val="0"/>
              <w:wordWrap/>
              <w:overflowPunct/>
              <w:topLinePunct w:val="0"/>
              <w:autoSpaceDE w:val="0"/>
              <w:autoSpaceDN w:val="0"/>
              <w:bidi w:val="0"/>
              <w:adjustRightInd w:val="0"/>
              <w:snapToGrid w:val="0"/>
              <w:spacing w:before="42" w:line="225" w:lineRule="auto"/>
              <w:ind w:left="415"/>
              <w:textAlignment w:val="baseline"/>
              <w:rPr>
                <w:rFonts w:ascii="宋体" w:hAnsi="宋体" w:eastAsia="宋体" w:cs="宋体"/>
                <w:sz w:val="13"/>
                <w:szCs w:val="13"/>
              </w:rPr>
            </w:pPr>
            <w:r>
              <w:rPr>
                <w:rFonts w:ascii="宋体" w:hAnsi="宋体" w:eastAsia="宋体" w:cs="宋体"/>
                <w:spacing w:val="-11"/>
                <w:w w:val="95"/>
                <w:sz w:val="13"/>
                <w:szCs w:val="13"/>
              </w:rPr>
              <w:t>同客户进行评价</w:t>
            </w:r>
          </w:p>
        </w:tc>
        <w:tc>
          <w:tcPr>
            <w:tcW w:w="1539" w:type="dxa"/>
            <w:tcBorders>
              <w:top w:val="nil"/>
              <w:left w:val="nil"/>
              <w:bottom w:val="dashed" w:color="000000" w:sz="14" w:space="0"/>
            </w:tcBorders>
          </w:tcPr>
          <w:p w14:paraId="78B5EEBD">
            <w:pPr>
              <w:pStyle w:val="25"/>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7B9C962D">
            <w:pPr>
              <w:keepNext w:val="0"/>
              <w:keepLines w:val="0"/>
              <w:pageBreakBefore w:val="0"/>
              <w:widowControl w:val="0"/>
              <w:kinsoku w:val="0"/>
              <w:wordWrap/>
              <w:overflowPunct/>
              <w:topLinePunct w:val="0"/>
              <w:autoSpaceDE w:val="0"/>
              <w:autoSpaceDN w:val="0"/>
              <w:bidi w:val="0"/>
              <w:adjustRightInd w:val="0"/>
              <w:snapToGrid w:val="0"/>
              <w:spacing w:before="43" w:line="231" w:lineRule="auto"/>
              <w:ind w:left="289" w:right="347" w:firstLine="27"/>
              <w:textAlignment w:val="baseline"/>
              <w:rPr>
                <w:rFonts w:ascii="宋体" w:hAnsi="宋体" w:eastAsia="宋体" w:cs="宋体"/>
                <w:sz w:val="13"/>
                <w:szCs w:val="13"/>
              </w:rPr>
            </w:pPr>
            <w:r>
              <w:rPr>
                <w:rFonts w:ascii="宋体" w:hAnsi="宋体" w:eastAsia="宋体" w:cs="宋体"/>
                <w:spacing w:val="-12"/>
                <w:sz w:val="13"/>
                <w:szCs w:val="13"/>
              </w:rPr>
              <w:t>SLA签约：协商、</w:t>
            </w:r>
            <w:r>
              <w:rPr>
                <w:rFonts w:ascii="宋体" w:hAnsi="宋体" w:eastAsia="宋体" w:cs="宋体"/>
                <w:spacing w:val="-14"/>
                <w:w w:val="97"/>
                <w:sz w:val="13"/>
                <w:szCs w:val="13"/>
              </w:rPr>
              <w:t>草拟、修订、终止</w:t>
            </w:r>
          </w:p>
        </w:tc>
        <w:tc>
          <w:tcPr>
            <w:tcW w:w="2271" w:type="dxa"/>
            <w:vMerge w:val="continue"/>
            <w:tcBorders>
              <w:top w:val="nil"/>
              <w:bottom w:val="dashed" w:color="000000" w:sz="14" w:space="0"/>
            </w:tcBorders>
          </w:tcPr>
          <w:p w14:paraId="0E39467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08" w:type="dxa"/>
            <w:vMerge w:val="continue"/>
            <w:tcBorders>
              <w:top w:val="nil"/>
              <w:bottom w:val="dashed" w:color="000000" w:sz="14" w:space="0"/>
            </w:tcBorders>
          </w:tcPr>
          <w:p w14:paraId="0655A7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C7AFBC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753" w:hRule="atLeast"/>
        </w:trPr>
        <w:tc>
          <w:tcPr>
            <w:tcW w:w="416" w:type="dxa"/>
            <w:tcBorders>
              <w:top w:val="dashed" w:color="000000" w:sz="14" w:space="0"/>
              <w:left w:val="single" w:color="000000" w:sz="4" w:space="0"/>
              <w:bottom w:val="dashed" w:color="000000" w:sz="14" w:space="0"/>
              <w:right w:val="single" w:color="000000" w:sz="4" w:space="0"/>
            </w:tcBorders>
            <w:textDirection w:val="btLr"/>
          </w:tcPr>
          <w:p w14:paraId="3114024D">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94"/>
              <w:textAlignment w:val="baseline"/>
              <w:rPr>
                <w:rFonts w:ascii="宋体" w:hAnsi="宋体" w:eastAsia="宋体" w:cs="宋体"/>
                <w:sz w:val="16"/>
                <w:szCs w:val="16"/>
              </w:rPr>
            </w:pPr>
            <w:r>
              <w:rPr>
                <w:rFonts w:ascii="宋体" w:hAnsi="宋体" w:eastAsia="宋体" w:cs="宋体"/>
                <w:spacing w:val="15"/>
                <w:w w:val="116"/>
                <w:sz w:val="16"/>
                <w:szCs w:val="16"/>
              </w:rPr>
              <w:t>服务级别监控阶段</w:t>
            </w:r>
          </w:p>
        </w:tc>
        <w:tc>
          <w:tcPr>
            <w:tcW w:w="1642" w:type="dxa"/>
            <w:tcBorders>
              <w:top w:val="dashed" w:color="000000" w:sz="14" w:space="0"/>
              <w:left w:val="single" w:color="000000" w:sz="4" w:space="0"/>
              <w:bottom w:val="dashed" w:color="000000" w:sz="14" w:space="0"/>
            </w:tcBorders>
          </w:tcPr>
          <w:p w14:paraId="17DADF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027" w:type="dxa"/>
            <w:gridSpan w:val="2"/>
            <w:tcBorders>
              <w:top w:val="dashed" w:color="000000" w:sz="14" w:space="0"/>
              <w:bottom w:val="dashed" w:color="000000" w:sz="14" w:space="0"/>
            </w:tcBorders>
          </w:tcPr>
          <w:p w14:paraId="41F8E3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71" w:type="dxa"/>
            <w:tcBorders>
              <w:top w:val="dashed" w:color="000000" w:sz="14" w:space="0"/>
              <w:bottom w:val="dashed" w:color="000000" w:sz="14" w:space="0"/>
            </w:tcBorders>
          </w:tcPr>
          <w:p w14:paraId="4580AF85">
            <w:pPr>
              <w:pStyle w:val="25"/>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64C67773">
            <w:pPr>
              <w:pStyle w:val="25"/>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08B8D814">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942"/>
              <w:textAlignment w:val="baseline"/>
              <w:rPr>
                <w:rFonts w:ascii="宋体" w:hAnsi="宋体" w:eastAsia="宋体" w:cs="宋体"/>
                <w:sz w:val="13"/>
                <w:szCs w:val="13"/>
              </w:rPr>
            </w:pPr>
            <w:r>
              <w:rPr>
                <w:rFonts w:ascii="宋体" w:hAnsi="宋体" w:eastAsia="宋体" w:cs="宋体"/>
                <w:spacing w:val="-10"/>
                <w:w w:val="96"/>
                <w:sz w:val="13"/>
                <w:szCs w:val="13"/>
              </w:rPr>
              <w:t>服务级别监控</w:t>
            </w:r>
          </w:p>
        </w:tc>
        <w:tc>
          <w:tcPr>
            <w:tcW w:w="1808" w:type="dxa"/>
            <w:tcBorders>
              <w:top w:val="dashed" w:color="000000" w:sz="14" w:space="0"/>
              <w:bottom w:val="dashed" w:color="000000" w:sz="14" w:space="0"/>
            </w:tcBorders>
          </w:tcPr>
          <w:p w14:paraId="35AC1620">
            <w:pPr>
              <w:pStyle w:val="25"/>
              <w:keepNext w:val="0"/>
              <w:keepLines w:val="0"/>
              <w:pageBreakBefore w:val="0"/>
              <w:widowControl w:val="0"/>
              <w:kinsoku w:val="0"/>
              <w:wordWrap/>
              <w:overflowPunct/>
              <w:topLinePunct w:val="0"/>
              <w:autoSpaceDE w:val="0"/>
              <w:autoSpaceDN w:val="0"/>
              <w:bidi w:val="0"/>
              <w:adjustRightInd w:val="0"/>
              <w:snapToGrid w:val="0"/>
              <w:spacing w:line="315" w:lineRule="auto"/>
              <w:textAlignment w:val="baseline"/>
            </w:pPr>
          </w:p>
          <w:p w14:paraId="270E5C8E">
            <w:pPr>
              <w:pStyle w:val="25"/>
              <w:keepNext w:val="0"/>
              <w:keepLines w:val="0"/>
              <w:pageBreakBefore w:val="0"/>
              <w:widowControl w:val="0"/>
              <w:kinsoku w:val="0"/>
              <w:wordWrap/>
              <w:overflowPunct/>
              <w:topLinePunct w:val="0"/>
              <w:autoSpaceDE w:val="0"/>
              <w:autoSpaceDN w:val="0"/>
              <w:bidi w:val="0"/>
              <w:adjustRightInd w:val="0"/>
              <w:snapToGrid w:val="0"/>
              <w:spacing w:line="316" w:lineRule="auto"/>
              <w:textAlignment w:val="baseline"/>
            </w:pPr>
          </w:p>
          <w:p w14:paraId="2D884BAA">
            <w:pPr>
              <w:keepNext w:val="0"/>
              <w:keepLines w:val="0"/>
              <w:pageBreakBefore w:val="0"/>
              <w:widowControl w:val="0"/>
              <w:kinsoku w:val="0"/>
              <w:wordWrap/>
              <w:overflowPunct/>
              <w:topLinePunct w:val="0"/>
              <w:autoSpaceDE w:val="0"/>
              <w:autoSpaceDN w:val="0"/>
              <w:bidi w:val="0"/>
              <w:adjustRightInd w:val="0"/>
              <w:snapToGrid w:val="0"/>
              <w:spacing w:before="42" w:line="225" w:lineRule="auto"/>
              <w:ind w:left="674"/>
              <w:textAlignment w:val="baseline"/>
              <w:rPr>
                <w:rFonts w:ascii="宋体" w:hAnsi="宋体" w:eastAsia="宋体" w:cs="宋体"/>
                <w:sz w:val="13"/>
                <w:szCs w:val="13"/>
              </w:rPr>
            </w:pPr>
            <w:r>
              <w:rPr>
                <w:rFonts w:ascii="宋体" w:hAnsi="宋体" w:eastAsia="宋体" w:cs="宋体"/>
                <w:spacing w:val="-10"/>
                <w:w w:val="97"/>
                <w:sz w:val="13"/>
                <w:szCs w:val="13"/>
              </w:rPr>
              <w:t>服务报告</w:t>
            </w:r>
          </w:p>
        </w:tc>
      </w:tr>
      <w:tr w14:paraId="5A3A3BD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31" w:hRule="atLeast"/>
        </w:trPr>
        <w:tc>
          <w:tcPr>
            <w:tcW w:w="416" w:type="dxa"/>
            <w:tcBorders>
              <w:top w:val="dashed" w:color="000000" w:sz="14" w:space="0"/>
              <w:left w:val="single" w:color="000000" w:sz="4" w:space="0"/>
              <w:bottom w:val="single" w:color="000000" w:sz="4" w:space="0"/>
              <w:right w:val="single" w:color="000000" w:sz="4" w:space="0"/>
            </w:tcBorders>
            <w:textDirection w:val="btLr"/>
          </w:tcPr>
          <w:p w14:paraId="5A423432">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136"/>
              <w:textAlignment w:val="baseline"/>
              <w:rPr>
                <w:rFonts w:ascii="宋体" w:hAnsi="宋体" w:eastAsia="宋体" w:cs="宋体"/>
                <w:sz w:val="16"/>
                <w:szCs w:val="16"/>
              </w:rPr>
            </w:pPr>
            <w:r>
              <w:rPr>
                <w:rFonts w:ascii="宋体" w:hAnsi="宋体" w:eastAsia="宋体" w:cs="宋体"/>
                <w:spacing w:val="15"/>
                <w:w w:val="116"/>
                <w:sz w:val="16"/>
                <w:szCs w:val="16"/>
              </w:rPr>
              <w:t>服务级别评审阶段</w:t>
            </w:r>
          </w:p>
        </w:tc>
        <w:tc>
          <w:tcPr>
            <w:tcW w:w="1642" w:type="dxa"/>
            <w:tcBorders>
              <w:top w:val="dashed" w:color="000000" w:sz="14" w:space="0"/>
              <w:left w:val="single" w:color="000000" w:sz="4" w:space="0"/>
            </w:tcBorders>
          </w:tcPr>
          <w:p w14:paraId="2F2265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027" w:type="dxa"/>
            <w:gridSpan w:val="2"/>
            <w:tcBorders>
              <w:top w:val="dashed" w:color="000000" w:sz="14" w:space="0"/>
            </w:tcBorders>
          </w:tcPr>
          <w:p w14:paraId="2CAFD5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71" w:type="dxa"/>
            <w:tcBorders>
              <w:top w:val="dashed" w:color="000000" w:sz="14" w:space="0"/>
            </w:tcBorders>
          </w:tcPr>
          <w:p w14:paraId="39E6AF46">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0E8A819D">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5C40D64C">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79F86E6B">
            <w:pPr>
              <w:keepNext w:val="0"/>
              <w:keepLines w:val="0"/>
              <w:pageBreakBefore w:val="0"/>
              <w:widowControl w:val="0"/>
              <w:kinsoku w:val="0"/>
              <w:wordWrap/>
              <w:overflowPunct/>
              <w:topLinePunct w:val="0"/>
              <w:autoSpaceDE w:val="0"/>
              <w:autoSpaceDN w:val="0"/>
              <w:bidi w:val="0"/>
              <w:adjustRightInd w:val="0"/>
              <w:snapToGrid w:val="0"/>
              <w:spacing w:before="43" w:line="226" w:lineRule="auto"/>
              <w:ind w:left="942"/>
              <w:textAlignment w:val="baseline"/>
              <w:rPr>
                <w:rFonts w:ascii="宋体" w:hAnsi="宋体" w:eastAsia="宋体" w:cs="宋体"/>
                <w:sz w:val="13"/>
                <w:szCs w:val="13"/>
              </w:rPr>
            </w:pPr>
            <w:r>
              <w:rPr>
                <w:rFonts w:ascii="宋体" w:hAnsi="宋体" w:eastAsia="宋体" w:cs="宋体"/>
                <w:spacing w:val="-12"/>
                <w:w w:val="97"/>
                <w:sz w:val="13"/>
                <w:szCs w:val="13"/>
              </w:rPr>
              <w:t>服务级别评审</w:t>
            </w:r>
          </w:p>
        </w:tc>
        <w:tc>
          <w:tcPr>
            <w:tcW w:w="1808" w:type="dxa"/>
            <w:tcBorders>
              <w:top w:val="dashed" w:color="000000" w:sz="14" w:space="0"/>
            </w:tcBorders>
          </w:tcPr>
          <w:p w14:paraId="4E7D2479">
            <w:pPr>
              <w:pStyle w:val="25"/>
              <w:keepNext w:val="0"/>
              <w:keepLines w:val="0"/>
              <w:pageBreakBefore w:val="0"/>
              <w:widowControl w:val="0"/>
              <w:kinsoku w:val="0"/>
              <w:wordWrap/>
              <w:overflowPunct/>
              <w:topLinePunct w:val="0"/>
              <w:autoSpaceDE w:val="0"/>
              <w:autoSpaceDN w:val="0"/>
              <w:bidi w:val="0"/>
              <w:adjustRightInd w:val="0"/>
              <w:snapToGrid w:val="0"/>
              <w:spacing w:line="266" w:lineRule="auto"/>
              <w:textAlignment w:val="baseline"/>
            </w:pPr>
          </w:p>
          <w:p w14:paraId="3067D707">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232686C6">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241DDD74">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448"/>
              <w:textAlignment w:val="baseline"/>
              <w:rPr>
                <w:rFonts w:ascii="宋体" w:hAnsi="宋体" w:eastAsia="宋体" w:cs="宋体"/>
                <w:sz w:val="13"/>
                <w:szCs w:val="13"/>
              </w:rPr>
            </w:pPr>
            <w:r>
              <w:rPr>
                <w:rFonts w:ascii="宋体" w:hAnsi="宋体" w:eastAsia="宋体" w:cs="宋体"/>
                <w:spacing w:val="-11"/>
                <w:w w:val="96"/>
                <w:sz w:val="13"/>
                <w:szCs w:val="13"/>
              </w:rPr>
              <w:t>服务级别评审记录</w:t>
            </w:r>
          </w:p>
        </w:tc>
      </w:tr>
    </w:tbl>
    <w:p w14:paraId="142FB003">
      <w:pPr>
        <w:keepNext w:val="0"/>
        <w:keepLines w:val="0"/>
        <w:pageBreakBefore w:val="0"/>
        <w:widowControl w:val="0"/>
        <w:kinsoku w:val="0"/>
        <w:wordWrap/>
        <w:overflowPunct/>
        <w:topLinePunct w:val="0"/>
        <w:autoSpaceDE w:val="0"/>
        <w:autoSpaceDN w:val="0"/>
        <w:bidi w:val="0"/>
        <w:adjustRightInd w:val="0"/>
        <w:snapToGrid w:val="0"/>
        <w:spacing w:before="156" w:line="220" w:lineRule="auto"/>
        <w:ind w:left="3105"/>
        <w:textAlignment w:val="baseline"/>
        <w:rPr>
          <w:rFonts w:ascii="宋体" w:hAnsi="宋体" w:eastAsia="宋体" w:cs="宋体"/>
          <w:sz w:val="18"/>
          <w:szCs w:val="18"/>
        </w:rPr>
      </w:pPr>
      <w:r>
        <w:rPr>
          <w:rFonts w:ascii="宋体" w:hAnsi="宋体" w:eastAsia="宋体" w:cs="宋体"/>
          <w:b/>
          <w:bCs/>
          <w:spacing w:val="-4"/>
          <w:sz w:val="18"/>
          <w:szCs w:val="18"/>
        </w:rPr>
        <w:t>图</w:t>
      </w:r>
      <w:r>
        <w:rPr>
          <w:rFonts w:ascii="宋体" w:hAnsi="宋体" w:eastAsia="宋体" w:cs="宋体"/>
          <w:spacing w:val="-26"/>
          <w:sz w:val="18"/>
          <w:szCs w:val="18"/>
        </w:rPr>
        <w:t xml:space="preserve"> </w:t>
      </w:r>
      <w:r>
        <w:rPr>
          <w:rFonts w:ascii="Calibri Light" w:hAnsi="Calibri Light" w:eastAsia="Calibri Light" w:cs="Calibri Light"/>
          <w:b/>
          <w:bCs/>
          <w:spacing w:val="-4"/>
          <w:sz w:val="18"/>
          <w:szCs w:val="18"/>
        </w:rPr>
        <w:t>5-1</w:t>
      </w:r>
      <w:r>
        <w:rPr>
          <w:rFonts w:ascii="Calibri Light" w:hAnsi="Calibri Light" w:eastAsia="Calibri Light" w:cs="Calibri Light"/>
          <w:spacing w:val="-4"/>
          <w:sz w:val="18"/>
          <w:szCs w:val="18"/>
        </w:rPr>
        <w:t xml:space="preserve">  </w:t>
      </w:r>
      <w:r>
        <w:rPr>
          <w:rFonts w:ascii="宋体" w:hAnsi="宋体" w:eastAsia="宋体" w:cs="宋体"/>
          <w:b/>
          <w:bCs/>
          <w:spacing w:val="-4"/>
          <w:sz w:val="18"/>
          <w:szCs w:val="18"/>
        </w:rPr>
        <w:t>服务级别管理流程图</w:t>
      </w:r>
    </w:p>
    <w:p w14:paraId="4A72C97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0987"/>
      <w:r>
        <w:t>活动说明</w:t>
      </w:r>
      <w:bookmarkEnd w:id="16"/>
    </w:p>
    <w:p w14:paraId="73D9AA8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32091"/>
      <w:r>
        <w:t>识别客户需求</w:t>
      </w:r>
      <w:bookmarkEnd w:id="17"/>
    </w:p>
    <w:p w14:paraId="6AE1767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项目经理通过与客户沟通（如会议、访谈等方式）收集客户对服务管理和质量的要求和期望，进行描述和整理，形成《会议纪要》。</w:t>
      </w:r>
    </w:p>
    <w:p w14:paraId="12D5BB8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190"/>
      <w:r>
        <w:t>定义服务级别</w:t>
      </w:r>
      <w:bookmarkEnd w:id="18"/>
    </w:p>
    <w:p w14:paraId="730D8A5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项目经理通过根据客户需求进行服务需求和期望进行详细分析，形成《服务级别协议》草案，和客户进行确认，以满足客户的要求。常规的 SLA 中所包含的内容：</w:t>
      </w:r>
    </w:p>
    <w:p w14:paraId="0DF3CF8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服务概述；</w:t>
      </w:r>
    </w:p>
    <w:p w14:paraId="1BDCF248">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服务周期和服务时间；</w:t>
      </w:r>
    </w:p>
    <w:p w14:paraId="4BC38524">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服务范围；</w:t>
      </w:r>
    </w:p>
    <w:p w14:paraId="2306C9B5">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双方职责和义务；</w:t>
      </w:r>
    </w:p>
    <w:p w14:paraId="18B5B68C">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考核指标（即服务要达到的目标，如响应时间、可用性等）；</w:t>
      </w:r>
    </w:p>
    <w:p w14:paraId="0CB3AC50">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服务费用；</w:t>
      </w:r>
    </w:p>
    <w:p w14:paraId="056E28EB">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设备清单。</w:t>
      </w:r>
    </w:p>
    <w:p w14:paraId="2B26B58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32030"/>
      <w:r>
        <w:t>SLA的签订</w:t>
      </w:r>
      <w:bookmarkEnd w:id="19"/>
    </w:p>
    <w:p w14:paraId="5DC60B1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项目经理根据服务级别协议提出详细的项目级服务目录。</w:t>
      </w:r>
    </w:p>
    <w:p w14:paraId="2620519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项目级服务目录尽量避免技术术语，而使用一些符合相关业务的术语；尽量从客户的角度看待问题。通过协商、草拟、修订，完成SLA的签订。</w:t>
      </w:r>
    </w:p>
    <w:p w14:paraId="75D55F3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585"/>
      <w:r>
        <w:t>SLA的实施和监控</w:t>
      </w:r>
      <w:bookmarkEnd w:id="20"/>
    </w:p>
    <w:p w14:paraId="7BB8C1E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协议签署并开通服务之后，由服务级别经理建立和监测机制，并按照确立的监控机制制定《服务级别管理监控记录表》以对我方提供的运维服务进行相关数据采集，判断服务过程中是否存在违背服务级别协议的内容，如有，请记录。</w:t>
      </w:r>
    </w:p>
    <w:p w14:paraId="2C98BF6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3471"/>
      <w:r>
        <w:t>服务级别评审</w:t>
      </w:r>
      <w:bookmarkEnd w:id="21"/>
    </w:p>
    <w:p w14:paraId="73B5A77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服务级别经理依据服务级别管理监控，组织召开 SLA 评审会议，回顾和总结检查服务级别的履行状况，形成服务改进方案和措施，形成《服务级别评审表》，同客户进行评价，并调整下一服务周期的SLA。</w:t>
      </w:r>
    </w:p>
    <w:p w14:paraId="7FF136C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10827"/>
      <w:r>
        <w:rPr>
          <w:rFonts w:hint="eastAsia"/>
          <w:lang w:val="en-US" w:eastAsia="zh-CN"/>
        </w:rPr>
        <w:t>服务级别改进</w:t>
      </w:r>
      <w:bookmarkEnd w:id="22"/>
    </w:p>
    <w:p w14:paraId="35F2FED4">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服务级别评审后，如发现服务未达到协议约定水平或存在改进空间，应采取系统性改进措施，确保服务持续符合或超越客户期望。改进措施包括以下环节：</w:t>
      </w:r>
    </w:p>
    <w:p w14:paraId="347BB41C">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改进需求识别</w:t>
      </w:r>
    </w:p>
    <w:p w14:paraId="4967E5A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基于《服务级别评审表》和服务监控数据，识别未达标的服务项、客户反馈问题及潜在提升点。</w:t>
      </w:r>
    </w:p>
    <w:p w14:paraId="12AEECD3">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制定改进措施</w:t>
      </w:r>
    </w:p>
    <w:p w14:paraId="177CA2A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服务级别经理组织相关团队（如运维、项目、技术支持等）制定具体的改进计划，内容应包括：</w:t>
      </w:r>
    </w:p>
    <w:p w14:paraId="61BB612E">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改进目标；</w:t>
      </w:r>
    </w:p>
    <w:p w14:paraId="2265743D">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具体行动项；</w:t>
      </w:r>
    </w:p>
    <w:p w14:paraId="2BF22F50">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责任人；</w:t>
      </w:r>
    </w:p>
    <w:p w14:paraId="655D4AD5">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完成时间；</w:t>
      </w:r>
    </w:p>
    <w:p w14:paraId="31554048">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所需资源。</w:t>
      </w:r>
    </w:p>
    <w:p w14:paraId="0929F47C">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措施实施与跟踪</w:t>
      </w:r>
    </w:p>
    <w:p w14:paraId="1522108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运维项目经理负责推动改进措施的执行，服务级别经理负责跟踪进度，并在《服务级别管理监控记录表》中记录改进状态。</w:t>
      </w:r>
    </w:p>
    <w:p w14:paraId="76D224B9">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效果验证</w:t>
      </w:r>
    </w:p>
    <w:p w14:paraId="38F59F3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改进措施完成后，通过下一周期的服务级别监控数据及客户反馈进行效果验证，确保改进有效并可持续。</w:t>
      </w:r>
    </w:p>
    <w:p w14:paraId="4D4B64B6">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更新服务协议</w:t>
      </w:r>
    </w:p>
    <w:p w14:paraId="2E413787">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如改进涉及服务级别调整，应通过变更管理流程更新SLA，并重新与客户确认。</w:t>
      </w:r>
    </w:p>
    <w:p w14:paraId="6532987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1663"/>
      <w:r>
        <w:t>关键成功因素</w:t>
      </w:r>
      <w:bookmarkEnd w:id="23"/>
    </w:p>
    <w:p w14:paraId="6EB69BB8">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了解服务内容</w:t>
      </w:r>
    </w:p>
    <w:p w14:paraId="44D22B6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服务提供方充分了解它所能提供的各种服务，以及相关的优先权和业务重要程度；</w:t>
      </w:r>
    </w:p>
    <w:p w14:paraId="09DF3CEE">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确定服务范围、服务对象和服务内容</w:t>
      </w:r>
    </w:p>
    <w:p w14:paraId="0B1F640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参考服务目录，但是对于不同的用户，具体的服务级别设定又要有针对性</w:t>
      </w:r>
      <w:r>
        <w:rPr>
          <w:rFonts w:hint="eastAsia"/>
          <w:lang w:eastAsia="zh-CN"/>
        </w:rPr>
        <w:t>。</w:t>
      </w:r>
      <w:r>
        <w:t>和独立性；</w:t>
      </w:r>
    </w:p>
    <w:p w14:paraId="6F86708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定义服务级别目标</w:t>
      </w:r>
    </w:p>
    <w:p w14:paraId="3B04C8A7">
      <w:pPr>
        <w:pStyle w:val="27"/>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rPr>
          <w:rStyle w:val="42"/>
        </w:rPr>
        <w:t>在服务级别设定的过程中，服务提供方和客户需要仔细的推敲指定合适的服</w:t>
      </w:r>
      <w:r>
        <w:t>务目标，既要考虑到客户的需求，又要监督到经济效益和成本因素，力求服务级别可行；</w:t>
      </w:r>
    </w:p>
    <w:p w14:paraId="25CE51EB">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明确双方职责</w:t>
      </w:r>
    </w:p>
    <w:p w14:paraId="5810F2A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就服务本身而言，并不是单方面的工作，许多服务级别设定后在实施过程中失败，其原因就是因为忽略了客户在服务提供过程中的角色，以及相应的权利、义务、职责等。经过双方确认，除了在服务提供方任命专人对口客户，在客户方亦需要有专人负责对服务提供方进行监督；</w:t>
      </w:r>
    </w:p>
    <w:p w14:paraId="3CC99A63">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对服务级别设定的评审和修改</w:t>
      </w:r>
    </w:p>
    <w:p w14:paraId="16C1A0C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服务级别设定后需要在公司内部进行评审，评审过程除应召集服务过程相关方，还应有质量管理人员，必要时还需邀请法务人员和财务人员进行评审；</w:t>
      </w:r>
    </w:p>
    <w:p w14:paraId="71FDCEA2">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服务级别谈判和沟通</w:t>
      </w:r>
    </w:p>
    <w:p w14:paraId="115C58C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在最终形成文档的 SLA中，每个细节都是经过谈判、双方同意并被记录在案的。及时的沟通服务级别设定的每项内容，对整个服务级别管理过程有着重要作用。</w:t>
      </w:r>
    </w:p>
    <w:p w14:paraId="28E7DE1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7365"/>
      <w:r>
        <w:t>可能存在的风险</w:t>
      </w:r>
      <w:bookmarkEnd w:id="24"/>
    </w:p>
    <w:p w14:paraId="10108E8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在实施服务级别管理的过程中，下列问题值得关注：</w:t>
      </w:r>
    </w:p>
    <w:p w14:paraId="14F8BAEA">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未充分考虑客户需求，导致服务级别偏离；</w:t>
      </w:r>
    </w:p>
    <w:p w14:paraId="2DCC5CA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没有验证服务目标是否可实现，在签约前没有对这些服务目标进行核实；</w:t>
      </w:r>
    </w:p>
    <w:p w14:paraId="1F83CE8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对服务级别管理重视不够，投入的资源和时间太少；</w:t>
      </w:r>
    </w:p>
    <w:p w14:paraId="156C7CA8">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服务协议没有得到足够的运营级别协议或支持合同的支持；</w:t>
      </w:r>
    </w:p>
    <w:p w14:paraId="038632FF">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各方的责任定义不明确，从而可能会导致各方都推卸责任；</w:t>
      </w:r>
    </w:p>
    <w:p w14:paraId="1FADFEB9">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SLA根据IT而不是结合业务需求来签订，尤其在业务方不清楚其业务需求时更是如此；</w:t>
      </w:r>
    </w:p>
    <w:p w14:paraId="5D0FD6E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SLA太长，不够简洁，对关键业务或流程关注不够；</w:t>
      </w:r>
    </w:p>
    <w:p w14:paraId="31C2CB83">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拟提供的服务级别未能很好地传递给客户或客户有拒绝变化的抵触情绪；</w:t>
      </w:r>
    </w:p>
    <w:p w14:paraId="6BA4B63D">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服务级别管理未能与完整的服务周期相结合。</w:t>
      </w:r>
    </w:p>
    <w:p w14:paraId="61E8607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服务级别管理中出现的上述任何问题都可能导致服务级别管理的失败。因此，有必要提前确认这些问题并进行适当的监控，以确保服务级别管理流程成功地实施。</w:t>
      </w:r>
    </w:p>
    <w:p w14:paraId="217B506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24624"/>
      <w:r>
        <w:t>与其他流程的关系</w:t>
      </w:r>
      <w:bookmarkEnd w:id="25"/>
    </w:p>
    <w:p w14:paraId="5EAC4A3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31"/>
      <w:bookmarkEnd w:id="26"/>
      <w:bookmarkStart w:id="27" w:name="_Toc12376"/>
      <w:r>
        <w:t>与事件管理和问题管理</w:t>
      </w:r>
      <w:bookmarkEnd w:id="27"/>
    </w:p>
    <w:p w14:paraId="7F38CA3F">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事件管理过程中，在接受客户上报或主动监控上报的故障时，服务人员需要依据SLA对事件进行识别判断，属于服务级别范围内的故障应尽快解决，对于协议范围外的事件原则上不提供服务，但应与客户沟通以取得客户理解。</w:t>
      </w:r>
    </w:p>
    <w:p w14:paraId="61D59C4F">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事件优先级顺序的判断，应参照 SLA 中所约定的标准，应保证现有故障的处理时间满足SLA中所约定的时间要求。</w:t>
      </w:r>
    </w:p>
    <w:p w14:paraId="67A3CC3E">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问题管理过程中，通过采取永久性或彻底的措施，确保该类故障不再重复发生，以求达到 SLA 协议中约定的可用性等指标的目标。</w:t>
      </w:r>
    </w:p>
    <w:p w14:paraId="41F448E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18424"/>
      <w:r>
        <w:t>与变更管理和发布管理</w:t>
      </w:r>
      <w:bookmarkEnd w:id="28"/>
    </w:p>
    <w:p w14:paraId="7E4BC7CC">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变更管理过程中，将提供与服务级别协议相关的服务信息。</w:t>
      </w:r>
    </w:p>
    <w:p w14:paraId="0FC66DE8">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变更管理过程对配置项的变更评估，应充分参考对相关的运维服务及服务级别的保障。</w:t>
      </w:r>
    </w:p>
    <w:p w14:paraId="3779CAF4">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任何对服务、服务级别以及 SLA 的变更，都应通过变更管理来进行控制。</w:t>
      </w:r>
    </w:p>
    <w:p w14:paraId="4392E18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24641"/>
      <w:r>
        <w:t>与配置管理</w:t>
      </w:r>
      <w:bookmarkEnd w:id="29"/>
    </w:p>
    <w:p w14:paraId="37116B0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配置管理可将服务级别协议（SLA）作为配置项进行统一记录和管理，则当发生对SLA的变更时，配置管理库中对应 SLA 配置项的记录也应保持同步更新。</w:t>
      </w:r>
    </w:p>
    <w:p w14:paraId="0ED944D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21398"/>
      <w:r>
        <w:t>考核指标</w:t>
      </w:r>
      <w:bookmarkEnd w:id="30"/>
    </w:p>
    <w:tbl>
      <w:tblPr>
        <w:tblStyle w:val="24"/>
        <w:tblW w:w="829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344"/>
        <w:gridCol w:w="1344"/>
      </w:tblGrid>
      <w:tr w14:paraId="7C8AFD4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6" w:hRule="atLeast"/>
          <w:jc w:val="center"/>
        </w:trPr>
        <w:tc>
          <w:tcPr>
            <w:tcW w:w="727" w:type="dxa"/>
            <w:tcBorders>
              <w:top w:val="single" w:color="000000" w:sz="6" w:space="0"/>
              <w:left w:val="single" w:color="000000" w:sz="6" w:space="0"/>
              <w:bottom w:val="single" w:color="000000" w:sz="6" w:space="0"/>
            </w:tcBorders>
            <w:shd w:val="clear" w:color="auto" w:fill="C0C0C0"/>
          </w:tcPr>
          <w:p w14:paraId="06FC623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30CA01E1">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5C9689F9">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344" w:type="dxa"/>
            <w:tcBorders>
              <w:top w:val="single" w:color="000000" w:sz="6" w:space="0"/>
              <w:bottom w:val="single" w:color="000000" w:sz="6" w:space="0"/>
              <w:right w:val="single" w:color="000000" w:sz="6" w:space="0"/>
            </w:tcBorders>
            <w:shd w:val="clear" w:color="auto" w:fill="C0C0C0"/>
          </w:tcPr>
          <w:p w14:paraId="0D191FC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344" w:type="dxa"/>
            <w:tcBorders>
              <w:top w:val="single" w:color="000000" w:sz="6" w:space="0"/>
              <w:bottom w:val="single" w:color="000000" w:sz="6" w:space="0"/>
              <w:right w:val="single" w:color="000000" w:sz="6" w:space="0"/>
            </w:tcBorders>
            <w:shd w:val="clear" w:color="auto" w:fill="C0C0C0"/>
          </w:tcPr>
          <w:p w14:paraId="36223E2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6BA8C7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9" w:hRule="atLeast"/>
          <w:jc w:val="center"/>
        </w:trPr>
        <w:tc>
          <w:tcPr>
            <w:tcW w:w="727" w:type="dxa"/>
            <w:tcBorders>
              <w:top w:val="single" w:color="000000" w:sz="6" w:space="0"/>
              <w:left w:val="single" w:color="000000" w:sz="6" w:space="0"/>
            </w:tcBorders>
            <w:vAlign w:val="center"/>
          </w:tcPr>
          <w:p w14:paraId="2D05606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vAlign w:val="center"/>
          </w:tcPr>
          <w:p w14:paraId="4313A0E8">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rFonts w:hint="eastAsia"/>
                <w:spacing w:val="-2"/>
                <w:sz w:val="18"/>
                <w:szCs w:val="18"/>
                <w:lang w:val="en-US" w:eastAsia="zh-CN"/>
              </w:rPr>
              <w:t>SLA达成率</w:t>
            </w:r>
          </w:p>
        </w:tc>
        <w:tc>
          <w:tcPr>
            <w:tcW w:w="3545" w:type="dxa"/>
            <w:tcBorders>
              <w:top w:val="single" w:color="000000" w:sz="6" w:space="0"/>
              <w:right w:val="single" w:color="000000" w:sz="6" w:space="0"/>
            </w:tcBorders>
            <w:vAlign w:val="center"/>
          </w:tcPr>
          <w:p w14:paraId="263D3B74">
            <w:pPr>
              <w:pStyle w:val="25"/>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spacing w:val="-2"/>
                <w:sz w:val="18"/>
                <w:szCs w:val="18"/>
              </w:rPr>
              <w:t>（满足服务级别事件数/事件总数）*100%</w:t>
            </w:r>
          </w:p>
        </w:tc>
        <w:tc>
          <w:tcPr>
            <w:tcW w:w="1344" w:type="dxa"/>
            <w:tcBorders>
              <w:top w:val="single" w:color="000000" w:sz="6" w:space="0"/>
              <w:right w:val="single" w:color="000000" w:sz="6" w:space="0"/>
            </w:tcBorders>
            <w:vAlign w:val="center"/>
          </w:tcPr>
          <w:p w14:paraId="4C259F76">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spacing w:val="-2"/>
                <w:sz w:val="18"/>
                <w:szCs w:val="18"/>
                <w:lang w:val="en-US" w:eastAsia="zh-CN"/>
              </w:rPr>
              <w:t>按季度</w:t>
            </w:r>
          </w:p>
        </w:tc>
        <w:tc>
          <w:tcPr>
            <w:tcW w:w="1344" w:type="dxa"/>
            <w:tcBorders>
              <w:top w:val="single" w:color="000000" w:sz="6" w:space="0"/>
              <w:right w:val="single" w:color="000000" w:sz="6" w:space="0"/>
            </w:tcBorders>
            <w:vAlign w:val="center"/>
          </w:tcPr>
          <w:p w14:paraId="4D95C0D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≥90%</w:t>
            </w:r>
          </w:p>
        </w:tc>
      </w:tr>
    </w:tbl>
    <w:p w14:paraId="279CA4E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30711"/>
      <w:r>
        <w:t>相关政策</w:t>
      </w:r>
      <w:bookmarkEnd w:id="31"/>
    </w:p>
    <w:p w14:paraId="48EBD09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14053"/>
      <w:r>
        <w:t>常规方针</w:t>
      </w:r>
      <w:bookmarkEnd w:id="32"/>
    </w:p>
    <w:p w14:paraId="617D7937">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服务范围和相应服务级别目标、工作量应得到相关各方的认同，并被记录。每项服务应在服务级别协议（SLA）中被定义、认可和记录。</w:t>
      </w:r>
    </w:p>
    <w:p w14:paraId="6E5E0499">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服务级别协议的变更应置于变更管理控制之下。</w:t>
      </w:r>
    </w:p>
    <w:p w14:paraId="0B7C6712">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服务级别协议应定期得到相关各方检查，以确保其及时更新和有效。</w:t>
      </w:r>
    </w:p>
    <w:p w14:paraId="2F650351">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定期（每</w:t>
      </w:r>
      <w:r>
        <w:rPr>
          <w:rFonts w:hint="eastAsia"/>
          <w:lang w:val="en-US" w:eastAsia="zh-CN"/>
        </w:rPr>
        <w:t>季度</w:t>
      </w:r>
      <w:r>
        <w:t>）进行服务级别管理的评审，跟踪、协调和沟通服务级别管理活动，进行服务级别管理过程的改进，提升服务交付质量。</w:t>
      </w:r>
    </w:p>
    <w:p w14:paraId="567C461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16476"/>
      <w:r>
        <w:t>责任人方针</w:t>
      </w:r>
      <w:bookmarkEnd w:id="33"/>
    </w:p>
    <w:p w14:paraId="219969B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高效管理服务级别的一个关键要素，就是任命一个合适的责任人，以确保任何时候服务级别协议的有效执行。我们制定的该流程中，服务需求识别和签订的责任人被指派给</w:t>
      </w:r>
      <w:r>
        <w:rPr>
          <w:rFonts w:hint="eastAsia"/>
          <w:lang w:val="en-US" w:eastAsia="zh-CN"/>
        </w:rPr>
        <w:t>运维</w:t>
      </w:r>
      <w:r>
        <w:t>项目经理，服务级别协议监控和评审的责任人被指派给服务级别经理。</w:t>
      </w:r>
    </w:p>
    <w:p w14:paraId="76B5524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12774"/>
      <w:r>
        <w:t>相关文件及模板</w:t>
      </w:r>
      <w:bookmarkEnd w:id="34"/>
    </w:p>
    <w:p w14:paraId="2B4A36F2">
      <w:pPr>
        <w:keepNext w:val="0"/>
        <w:keepLines w:val="0"/>
        <w:pageBreakBefore w:val="0"/>
        <w:widowControl w:val="0"/>
        <w:kinsoku w:val="0"/>
        <w:wordWrap/>
        <w:overflowPunct/>
        <w:topLinePunct w:val="0"/>
        <w:autoSpaceDE w:val="0"/>
        <w:autoSpaceDN w:val="0"/>
        <w:bidi w:val="0"/>
        <w:adjustRightInd w:val="0"/>
        <w:snapToGrid w:val="0"/>
        <w:spacing w:before="141" w:line="220" w:lineRule="auto"/>
        <w:ind w:left="181"/>
        <w:textAlignment w:val="baseline"/>
        <w:rPr>
          <w:rFonts w:ascii="宋体" w:hAnsi="宋体" w:eastAsia="宋体" w:cs="宋体"/>
          <w:sz w:val="24"/>
          <w:szCs w:val="24"/>
        </w:rPr>
      </w:pPr>
      <w:r>
        <w:rPr>
          <w:rFonts w:ascii="宋体" w:hAnsi="宋体" w:eastAsia="宋体" w:cs="宋体"/>
          <w:spacing w:val="-1"/>
          <w:sz w:val="24"/>
          <w:szCs w:val="24"/>
        </w:rPr>
        <w:t>《</w:t>
      </w:r>
      <w:r>
        <w:rPr>
          <w:rFonts w:hint="eastAsia" w:ascii="宋体" w:hAnsi="宋体" w:eastAsia="宋体" w:cs="宋体"/>
          <w:spacing w:val="-1"/>
          <w:sz w:val="24"/>
          <w:szCs w:val="24"/>
        </w:rPr>
        <w:t>公司运行维护服务目录</w:t>
      </w:r>
      <w:r>
        <w:rPr>
          <w:rFonts w:ascii="宋体" w:hAnsi="宋体" w:eastAsia="宋体" w:cs="宋体"/>
          <w:spacing w:val="-1"/>
          <w:sz w:val="24"/>
          <w:szCs w:val="24"/>
        </w:rPr>
        <w:t>》</w:t>
      </w:r>
    </w:p>
    <w:p w14:paraId="6F5CCA9D">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181"/>
        <w:textAlignment w:val="baseline"/>
        <w:rPr>
          <w:rFonts w:ascii="宋体" w:hAnsi="宋体" w:eastAsia="宋体" w:cs="宋体"/>
          <w:sz w:val="24"/>
          <w:szCs w:val="24"/>
        </w:rPr>
      </w:pPr>
      <w:r>
        <w:rPr>
          <w:rFonts w:hint="eastAsia" w:ascii="宋体" w:hAnsi="宋体" w:eastAsia="宋体" w:cs="宋体"/>
          <w:spacing w:val="-1"/>
          <w:sz w:val="24"/>
          <w:szCs w:val="24"/>
        </w:rPr>
        <w:t>《服务级别管理程序》</w:t>
      </w:r>
    </w:p>
    <w:sectPr>
      <w:footerReference r:id="rId5" w:type="default"/>
      <w:pgSz w:w="11906" w:h="16839"/>
      <w:pgMar w:top="1431" w:right="1653" w:bottom="1373"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libri Light">
    <w:panose1 w:val="020F0302020204030204"/>
    <w:charset w:val="00"/>
    <w:family w:val="auto"/>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0B40C2">
    <w:pPr>
      <w:spacing w:line="165" w:lineRule="auto"/>
      <w:ind w:left="4130"/>
      <w:rPr>
        <w:rFonts w:ascii="Calibri" w:hAnsi="Calibri" w:eastAsia="Calibri" w:cs="Calibri"/>
        <w:sz w:val="18"/>
        <w:szCs w:val="18"/>
      </w:rPr>
    </w:pPr>
    <w:r>
      <w:rPr>
        <w:rFonts w:ascii="Calibri" w:hAnsi="Calibri" w:eastAsia="Calibri" w:cs="Calibri"/>
        <w:sz w:val="18"/>
        <w:szCs w:val="18"/>
      </w:rPr>
      <w:t>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8F1FCB75"/>
    <w:multiLevelType w:val="singleLevel"/>
    <w:tmpl w:val="8F1FCB75"/>
    <w:lvl w:ilvl="0" w:tentative="0">
      <w:start w:val="1"/>
      <w:numFmt w:val="decimal"/>
      <w:lvlText w:val="%1."/>
      <w:lvlJc w:val="left"/>
      <w:pPr>
        <w:ind w:left="425" w:hanging="425"/>
      </w:pPr>
      <w:rPr>
        <w:rFonts w:hint="default"/>
      </w:rPr>
    </w:lvl>
  </w:abstractNum>
  <w:abstractNum w:abstractNumId="2">
    <w:nsid w:val="A7365F51"/>
    <w:multiLevelType w:val="singleLevel"/>
    <w:tmpl w:val="A7365F51"/>
    <w:lvl w:ilvl="0" w:tentative="0">
      <w:start w:val="1"/>
      <w:numFmt w:val="decimal"/>
      <w:lvlText w:val="%1."/>
      <w:lvlJc w:val="left"/>
      <w:pPr>
        <w:ind w:left="425" w:hanging="425"/>
      </w:pPr>
      <w:rPr>
        <w:rFonts w:hint="default"/>
      </w:rPr>
    </w:lvl>
  </w:abstractNum>
  <w:abstractNum w:abstractNumId="3">
    <w:nsid w:val="AD5C2DBB"/>
    <w:multiLevelType w:val="singleLevel"/>
    <w:tmpl w:val="AD5C2DBB"/>
    <w:lvl w:ilvl="0" w:tentative="0">
      <w:start w:val="1"/>
      <w:numFmt w:val="decimal"/>
      <w:lvlText w:val="%1."/>
      <w:lvlJc w:val="left"/>
      <w:pPr>
        <w:ind w:left="425" w:hanging="425"/>
      </w:pPr>
      <w:rPr>
        <w:rFonts w:hint="default"/>
      </w:rPr>
    </w:lvl>
  </w:abstractNum>
  <w:abstractNum w:abstractNumId="4">
    <w:nsid w:val="BBA2B121"/>
    <w:multiLevelType w:val="singleLevel"/>
    <w:tmpl w:val="BBA2B121"/>
    <w:lvl w:ilvl="0" w:tentative="0">
      <w:start w:val="1"/>
      <w:numFmt w:val="decimal"/>
      <w:lvlText w:val="%1."/>
      <w:lvlJc w:val="left"/>
      <w:pPr>
        <w:ind w:left="425" w:hanging="425"/>
      </w:pPr>
      <w:rPr>
        <w:rFonts w:hint="default"/>
      </w:rPr>
    </w:lvl>
  </w:abstractNum>
  <w:abstractNum w:abstractNumId="5">
    <w:nsid w:val="CCE8DBF5"/>
    <w:multiLevelType w:val="singleLevel"/>
    <w:tmpl w:val="CCE8DBF5"/>
    <w:lvl w:ilvl="0" w:tentative="0">
      <w:start w:val="1"/>
      <w:numFmt w:val="decimal"/>
      <w:lvlText w:val="%1."/>
      <w:lvlJc w:val="left"/>
      <w:pPr>
        <w:ind w:left="425" w:hanging="425"/>
      </w:pPr>
      <w:rPr>
        <w:rFonts w:hint="default"/>
      </w:rPr>
    </w:lvl>
  </w:abstractNum>
  <w:abstractNum w:abstractNumId="6">
    <w:nsid w:val="DE9F8646"/>
    <w:multiLevelType w:val="singleLevel"/>
    <w:tmpl w:val="DE9F8646"/>
    <w:lvl w:ilvl="0" w:tentative="0">
      <w:start w:val="1"/>
      <w:numFmt w:val="decimal"/>
      <w:lvlText w:val="%1."/>
      <w:lvlJc w:val="left"/>
      <w:pPr>
        <w:ind w:left="425" w:hanging="425"/>
      </w:pPr>
      <w:rPr>
        <w:rFonts w:hint="default"/>
      </w:rPr>
    </w:lvl>
  </w:abstractNum>
  <w:abstractNum w:abstractNumId="7">
    <w:nsid w:val="E08F7544"/>
    <w:multiLevelType w:val="singleLevel"/>
    <w:tmpl w:val="E08F7544"/>
    <w:lvl w:ilvl="0" w:tentative="0">
      <w:start w:val="1"/>
      <w:numFmt w:val="decimal"/>
      <w:lvlText w:val="%1."/>
      <w:lvlJc w:val="left"/>
      <w:pPr>
        <w:ind w:left="425" w:hanging="425"/>
      </w:pPr>
      <w:rPr>
        <w:rFonts w:hint="default"/>
      </w:rPr>
    </w:lvl>
  </w:abstractNum>
  <w:abstractNum w:abstractNumId="8">
    <w:nsid w:val="F2380E6E"/>
    <w:multiLevelType w:val="singleLevel"/>
    <w:tmpl w:val="F2380E6E"/>
    <w:lvl w:ilvl="0" w:tentative="0">
      <w:start w:val="1"/>
      <w:numFmt w:val="decimal"/>
      <w:lvlText w:val="%1."/>
      <w:lvlJc w:val="left"/>
      <w:pPr>
        <w:ind w:left="425" w:hanging="425"/>
      </w:pPr>
      <w:rPr>
        <w:rFonts w:hint="default"/>
      </w:rPr>
    </w:lvl>
  </w:abstractNum>
  <w:abstractNum w:abstractNumId="9">
    <w:nsid w:val="F9617557"/>
    <w:multiLevelType w:val="singleLevel"/>
    <w:tmpl w:val="F9617557"/>
    <w:lvl w:ilvl="0" w:tentative="0">
      <w:start w:val="1"/>
      <w:numFmt w:val="decimal"/>
      <w:lvlText w:val="%1."/>
      <w:lvlJc w:val="left"/>
      <w:pPr>
        <w:ind w:left="425" w:hanging="425"/>
      </w:pPr>
      <w:rPr>
        <w:rFonts w:hint="default"/>
      </w:rPr>
    </w:lvl>
  </w:abstractNum>
  <w:abstractNum w:abstractNumId="10">
    <w:nsid w:val="248586F2"/>
    <w:multiLevelType w:val="singleLevel"/>
    <w:tmpl w:val="248586F2"/>
    <w:lvl w:ilvl="0" w:tentative="0">
      <w:start w:val="1"/>
      <w:numFmt w:val="decimal"/>
      <w:lvlText w:val="%1."/>
      <w:lvlJc w:val="left"/>
      <w:pPr>
        <w:ind w:left="425" w:hanging="425"/>
      </w:pPr>
      <w:rPr>
        <w:rFonts w:hint="default"/>
      </w:rPr>
    </w:lvl>
  </w:abstractNum>
  <w:abstractNum w:abstractNumId="11">
    <w:nsid w:val="3A927302"/>
    <w:multiLevelType w:val="singleLevel"/>
    <w:tmpl w:val="3A927302"/>
    <w:lvl w:ilvl="0" w:tentative="0">
      <w:start w:val="1"/>
      <w:numFmt w:val="decimal"/>
      <w:lvlText w:val="%1."/>
      <w:lvlJc w:val="left"/>
      <w:pPr>
        <w:ind w:left="425" w:hanging="425"/>
      </w:pPr>
      <w:rPr>
        <w:rFonts w:hint="default"/>
      </w:rPr>
    </w:lvl>
  </w:abstractNum>
  <w:abstractNum w:abstractNumId="12">
    <w:nsid w:val="5F0D4C11"/>
    <w:multiLevelType w:val="singleLevel"/>
    <w:tmpl w:val="5F0D4C11"/>
    <w:lvl w:ilvl="0" w:tentative="0">
      <w:start w:val="1"/>
      <w:numFmt w:val="decimal"/>
      <w:lvlText w:val="%1."/>
      <w:lvlJc w:val="left"/>
      <w:pPr>
        <w:ind w:left="425" w:hanging="425"/>
      </w:pPr>
      <w:rPr>
        <w:rFonts w:hint="default"/>
      </w:rPr>
    </w:lvl>
  </w:abstractNum>
  <w:abstractNum w:abstractNumId="13">
    <w:nsid w:val="698335A7"/>
    <w:multiLevelType w:val="singleLevel"/>
    <w:tmpl w:val="698335A7"/>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1"/>
  </w:num>
  <w:num w:numId="4">
    <w:abstractNumId w:val="7"/>
  </w:num>
  <w:num w:numId="5">
    <w:abstractNumId w:val="8"/>
  </w:num>
  <w:num w:numId="6">
    <w:abstractNumId w:val="10"/>
  </w:num>
  <w:num w:numId="7">
    <w:abstractNumId w:val="12"/>
  </w:num>
  <w:num w:numId="8">
    <w:abstractNumId w:val="11"/>
  </w:num>
  <w:num w:numId="9">
    <w:abstractNumId w:val="9"/>
  </w:num>
  <w:num w:numId="10">
    <w:abstractNumId w:val="5"/>
  </w:num>
  <w:num w:numId="11">
    <w:abstractNumId w:val="6"/>
  </w:num>
  <w:num w:numId="12">
    <w:abstractNumId w:val="13"/>
  </w:num>
  <w:num w:numId="13">
    <w:abstractNumId w:val="2"/>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31553AF"/>
    <w:rsid w:val="563B7C32"/>
    <w:rsid w:val="7FB0353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link w:val="42"/>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character" w:customStyle="1" w:styleId="42">
    <w:name w:val="柴_正文_无缩进 Char"/>
    <w:link w:val="39"/>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1814</Words>
  <Characters>1999</Characters>
  <Lines>0</Lines>
  <Paragraphs>0</Paragraphs>
  <TotalTime>5</TotalTime>
  <ScaleCrop>false</ScaleCrop>
  <LinksUpToDate>false</LinksUpToDate>
  <CharactersWithSpaces>2129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2025-08-21T04:26:00Z</dcterms:created>
  <dc:creator>谢永刚</dc:creator>
  <cp:lastModifiedBy>郝宇</cp:lastModifiedBy>
  <dcterms:modified xsi:type="dcterms:W3CDTF">2026-02-10T05:16:06Z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2025-08-27T11:01:54Z</vt:filetime>
  </property>
  <property fmtid="{D5CDD505-2E9C-101B-9397-08002B2CF9AE}" pid="3" name="CRO">
    <vt:lpwstr>wqlLaW5nc29mdCBQREYgdG8gV1BTIDExNQ</vt:lpwstr>
  </property>
  <property fmtid="{D5CDD505-2E9C-101B-9397-08002B2CF9AE}" pid="4" name="ICV">
    <vt:lpwstr>5247E785F6E44B04BCFFB03B33F09DF1_12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