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FBC6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0" w:name="_Toc22611"/>
    </w:p>
    <w:bookmarkEnd w:id="0"/>
    <w:p w14:paraId="533CC9F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" w:name="_Toc750"/>
      <w:r>
        <w:rPr>
          <w:rFonts w:hint="eastAsia"/>
          <w:lang w:val="en-US" w:eastAsia="zh-CN"/>
        </w:rPr>
        <w:t>盐都区新能源汽车充电桩建设项目</w:t>
      </w:r>
      <w:bookmarkEnd w:id="1"/>
    </w:p>
    <w:p w14:paraId="710E483F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bookmarkStart w:id="2" w:name="_Toc18485"/>
      <w:r>
        <w:rPr>
          <w:rFonts w:hint="eastAsia"/>
          <w:lang w:val="en-US" w:eastAsia="zh-CN"/>
        </w:rPr>
        <w:t>扩容方案</w:t>
      </w:r>
      <w:bookmarkEnd w:id="2"/>
    </w:p>
    <w:p w14:paraId="48E2BFF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17781"/>
      <w:bookmarkStart w:id="4" w:name="_Toc9224"/>
      <w:r>
        <w:t>中达丰集团有限公司</w:t>
      </w:r>
      <w:bookmarkEnd w:id="3"/>
      <w:bookmarkEnd w:id="4"/>
    </w:p>
    <w:p w14:paraId="3A273B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5"/>
        <w:jc w:val="center"/>
        <w:textAlignment w:val="baseline"/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4</w:t>
      </w:r>
      <w:r>
        <w:rPr>
          <w:rFonts w:ascii="宋体" w:hAnsi="宋体" w:eastAsia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20</w:t>
      </w:r>
    </w:p>
    <w:p w14:paraId="2B02492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34052D5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9" w:line="220" w:lineRule="auto"/>
        <w:ind w:left="3954"/>
        <w:textAlignment w:val="baseline"/>
        <w:outlineLvl w:val="0"/>
        <w:rPr>
          <w:rFonts w:ascii="宋体" w:hAnsi="宋体" w:eastAsia="宋体" w:cs="宋体"/>
          <w:sz w:val="21"/>
          <w:szCs w:val="21"/>
        </w:rPr>
      </w:pPr>
      <w:bookmarkStart w:id="5" w:name="_Toc16271"/>
      <w:bookmarkStart w:id="6" w:name="_Toc13645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5"/>
      <w:bookmarkEnd w:id="6"/>
    </w:p>
    <w:p w14:paraId="24C8EC5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6" w:lineRule="exact"/>
        <w:textAlignment w:val="baseline"/>
      </w:pP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10020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6479710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25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6ECFAD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08"/>
              <w:textAlignment w:val="baseline"/>
            </w:pPr>
            <w:r>
              <w:rPr>
                <w:rFonts w:hint="eastAsia"/>
                <w:spacing w:val="-1"/>
                <w:lang w:val="en-US" w:eastAsia="zh-CN"/>
              </w:rPr>
              <w:t>扩容方案</w:t>
            </w:r>
            <w:r>
              <w:rPr>
                <w:spacing w:val="-1"/>
              </w:rPr>
              <w:t>（ZDFJT-ITSS-</w:t>
            </w:r>
            <w:r>
              <w:rPr>
                <w:rFonts w:hint="eastAsia"/>
                <w:spacing w:val="-1"/>
                <w:lang w:val="en-US" w:eastAsia="zh-CN"/>
              </w:rPr>
              <w:t>KRFA</w:t>
            </w:r>
            <w:r>
              <w:rPr>
                <w:spacing w:val="-1"/>
              </w:rPr>
              <w:t>）</w:t>
            </w:r>
          </w:p>
        </w:tc>
      </w:tr>
      <w:tr w14:paraId="440EA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2B8A932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435"/>
              <w:textAlignment w:val="baseline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6C6E896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  <w:textAlignment w:val="baseline"/>
            </w:pPr>
            <w:r>
              <w:rPr>
                <w:spacing w:val="-1"/>
              </w:rPr>
              <w:t>中达丰集团有限公司</w:t>
            </w:r>
          </w:p>
        </w:tc>
      </w:tr>
      <w:tr w14:paraId="751E0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4EC2B85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435"/>
              <w:textAlignment w:val="baseline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088E754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359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5E65874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03B0FC2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547BCAC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  <w:textAlignment w:val="baseline"/>
            </w:pPr>
            <w:r>
              <w:rPr>
                <w:spacing w:val="-5"/>
              </w:rPr>
              <w:t>审核</w:t>
            </w:r>
          </w:p>
        </w:tc>
      </w:tr>
      <w:tr w14:paraId="718D9A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FDF8E5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39" w:lineRule="auto"/>
              <w:ind w:left="638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60B464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/>
              <w:ind w:left="361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  <w:r>
              <w:rPr>
                <w:spacing w:val="-2"/>
              </w:rPr>
              <w:t>-</w:t>
            </w:r>
            <w:r>
              <w:rPr>
                <w:rFonts w:hint="eastAsia" w:eastAsia="宋体"/>
                <w:spacing w:val="-2"/>
                <w:lang w:val="en-US" w:eastAsia="zh-CN"/>
              </w:rPr>
              <w:t>20</w:t>
            </w:r>
          </w:p>
        </w:tc>
        <w:tc>
          <w:tcPr>
            <w:tcW w:w="2302" w:type="dxa"/>
          </w:tcPr>
          <w:p w14:paraId="715DCFB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19" w:lineRule="auto"/>
              <w:ind w:left="738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5248111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48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 w14:paraId="1DE5BD9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20" w:lineRule="auto"/>
              <w:ind w:left="672"/>
              <w:textAlignment w:val="baseline"/>
            </w:pPr>
            <w:r>
              <w:rPr>
                <w:spacing w:val="-3"/>
              </w:rPr>
              <w:t>吴向阳</w:t>
            </w:r>
          </w:p>
        </w:tc>
      </w:tr>
      <w:tr w14:paraId="01B04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011645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4BA63D8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361"/>
              <w:textAlignment w:val="baseline"/>
            </w:pPr>
          </w:p>
        </w:tc>
        <w:tc>
          <w:tcPr>
            <w:tcW w:w="2302" w:type="dxa"/>
          </w:tcPr>
          <w:p w14:paraId="0241F87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279986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256A2BC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2"/>
              <w:textAlignment w:val="baseline"/>
            </w:pPr>
          </w:p>
        </w:tc>
      </w:tr>
      <w:tr w14:paraId="7EBC0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B7F908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58C71DA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361"/>
              <w:textAlignment w:val="baseline"/>
            </w:pPr>
          </w:p>
        </w:tc>
        <w:tc>
          <w:tcPr>
            <w:tcW w:w="2302" w:type="dxa"/>
          </w:tcPr>
          <w:p w14:paraId="032370E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5DD7C46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02C34A3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672"/>
              <w:textAlignment w:val="baseline"/>
            </w:pPr>
          </w:p>
        </w:tc>
      </w:tr>
      <w:tr w14:paraId="03DA9F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6E2076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7A24567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/>
              <w:ind w:left="361"/>
              <w:textAlignment w:val="baseline"/>
            </w:pPr>
          </w:p>
        </w:tc>
        <w:tc>
          <w:tcPr>
            <w:tcW w:w="2302" w:type="dxa"/>
          </w:tcPr>
          <w:p w14:paraId="5D4AF2F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0BE1ADC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2782F7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672"/>
              <w:textAlignment w:val="baseline"/>
            </w:pPr>
          </w:p>
        </w:tc>
      </w:tr>
      <w:tr w14:paraId="09C713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280CFC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7CF443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B8EE0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6AED72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0DC810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5B79DCEB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03B2B6B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1074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B78BB5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DEA9949">
          <w:pPr>
            <w:pStyle w:val="16"/>
            <w:tabs>
              <w:tab w:val="right" w:leader="dot" w:pos="8306"/>
            </w:tabs>
          </w:pPr>
          <w:bookmarkStart w:id="38" w:name="_GoBack"/>
          <w:bookmarkEnd w:id="38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盐都区新能源汽车充电桩建设项目</w:t>
          </w:r>
          <w:r>
            <w:tab/>
          </w:r>
          <w:r>
            <w:fldChar w:fldCharType="begin"/>
          </w:r>
          <w:r>
            <w:instrText xml:space="preserve"> PAGEREF _Toc750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358EF2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_Toc18485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扩容方案</w:t>
          </w:r>
          <w:r>
            <w:tab/>
          </w:r>
          <w:r>
            <w:fldChar w:fldCharType="begin"/>
          </w:r>
          <w:r>
            <w:instrText xml:space="preserve"> PAGEREF _Toc18485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1933A3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_Toc9224 </w:instrText>
          </w:r>
          <w: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_Toc9224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E20806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_Toc13645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_Toc13645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E4C1F2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项目背景与扩容必要性</w:t>
          </w:r>
          <w:r>
            <w:tab/>
          </w:r>
          <w:r>
            <w:fldChar w:fldCharType="begin"/>
          </w:r>
          <w:r>
            <w:instrText xml:space="preserve"> PAGEREF _Toc23605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8FD40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1.1. 项目现状分析</w:t>
          </w:r>
          <w:r>
            <w:tab/>
          </w:r>
          <w:r>
            <w:fldChar w:fldCharType="begin"/>
          </w:r>
          <w:r>
            <w:instrText xml:space="preserve"> PAGEREF _Toc15495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A35A8B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1.2. 扩容驱动因素</w:t>
          </w:r>
          <w:r>
            <w:tab/>
          </w:r>
          <w:r>
            <w:fldChar w:fldCharType="begin"/>
          </w:r>
          <w:r>
            <w:instrText xml:space="preserve"> PAGEREF _Toc11491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7125D0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扩容总体目标</w:t>
          </w:r>
          <w:r>
            <w:tab/>
          </w:r>
          <w:r>
            <w:fldChar w:fldCharType="begin"/>
          </w:r>
          <w:r>
            <w:instrText xml:space="preserve"> PAGEREF _Toc13955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3B7966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 短期目标（2025年4月-2026年3月）</w:t>
          </w:r>
          <w:r>
            <w:tab/>
          </w:r>
          <w:r>
            <w:fldChar w:fldCharType="begin"/>
          </w:r>
          <w:r>
            <w:instrText xml:space="preserve"> PAGEREF _Toc7544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973FA6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2.2. 中长期目标（2026年4月及以后）</w:t>
          </w:r>
          <w:r>
            <w:tab/>
          </w:r>
          <w:r>
            <w:fldChar w:fldCharType="begin"/>
          </w:r>
          <w:r>
            <w:instrText xml:space="preserve"> PAGEREF _Toc24911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A3D53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扩容范围与内容</w:t>
          </w:r>
          <w:r>
            <w:tab/>
          </w:r>
          <w:r>
            <w:fldChar w:fldCharType="begin"/>
          </w:r>
          <w:r>
            <w:instrText xml:space="preserve"> PAGEREF _Toc24344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C948B2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硬件设施扩容</w:t>
          </w:r>
          <w:r>
            <w:tab/>
          </w:r>
          <w:r>
            <w:fldChar w:fldCharType="begin"/>
          </w:r>
          <w:r>
            <w:instrText xml:space="preserve"> PAGEREF _Toc12163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4581FC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_Toc12254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软件系统扩容</w:t>
          </w:r>
          <w:r>
            <w:tab/>
          </w:r>
          <w:r>
            <w:fldChar w:fldCharType="begin"/>
          </w:r>
          <w:r>
            <w:instrText xml:space="preserve"> PAGEREF _Toc12254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D28781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人力资源扩容</w:t>
          </w:r>
          <w:r>
            <w:tab/>
          </w:r>
          <w:r>
            <w:fldChar w:fldCharType="begin"/>
          </w:r>
          <w:r>
            <w:instrText xml:space="preserve"> PAGEREF _Toc11564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2BF22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扩容实施策略</w:t>
          </w:r>
          <w:r>
            <w:tab/>
          </w:r>
          <w:r>
            <w:fldChar w:fldCharType="begin"/>
          </w:r>
          <w:r>
            <w:instrText xml:space="preserve"> PAGEREF _Toc149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BE93BD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分阶段实施计划</w:t>
          </w:r>
          <w:r>
            <w:tab/>
          </w:r>
          <w:r>
            <w:fldChar w:fldCharType="begin"/>
          </w:r>
          <w:r>
            <w:instrText xml:space="preserve"> PAGEREF _Toc4367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51A54B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4.1.1. 第一阶段：基础扩容（2025年4月-6月）</w:t>
          </w:r>
          <w:r>
            <w:tab/>
          </w:r>
          <w:r>
            <w:fldChar w:fldCharType="begin"/>
          </w:r>
          <w:r>
            <w:instrText xml:space="preserve"> PAGEREF _Toc14705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C8354E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4.1.2. 第二阶段：系统优化（2025年7月-9月）</w:t>
          </w:r>
          <w:r>
            <w:tab/>
          </w:r>
          <w:r>
            <w:fldChar w:fldCharType="begin"/>
          </w:r>
          <w:r>
            <w:instrText xml:space="preserve"> PAGEREF _Toc1295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CDEB8F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4.1.3. 第三阶段：能力提升（2025年10月-12月）</w:t>
          </w:r>
          <w:r>
            <w:tab/>
          </w:r>
          <w:r>
            <w:fldChar w:fldCharType="begin"/>
          </w:r>
          <w:r>
            <w:instrText xml:space="preserve"> PAGEREF _Toc7513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1ADC83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4.1.4. 第四阶段：持续改进（2026年1月-3月）</w:t>
          </w:r>
          <w:r>
            <w:tab/>
          </w:r>
          <w:r>
            <w:fldChar w:fldCharType="begin"/>
          </w:r>
          <w:r>
            <w:instrText xml:space="preserve"> PAGEREF _Toc18107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DB6DAB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技术实施方案</w:t>
          </w:r>
          <w:r>
            <w:tab/>
          </w:r>
          <w:r>
            <w:fldChar w:fldCharType="begin"/>
          </w:r>
          <w:r>
            <w:instrText xml:space="preserve"> PAGEREF _Toc2244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F8ECCA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扩容管理机制</w:t>
          </w:r>
          <w:r>
            <w:tab/>
          </w:r>
          <w:r>
            <w:fldChar w:fldCharType="begin"/>
          </w:r>
          <w:r>
            <w:instrText xml:space="preserve"> PAGEREF _Toc2381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1E776C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容量监控体系</w:t>
          </w:r>
          <w:r>
            <w:tab/>
          </w:r>
          <w:r>
            <w:fldChar w:fldCharType="begin"/>
          </w:r>
          <w:r>
            <w:instrText xml:space="preserve"> PAGEREF _Toc28726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733657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扩容决策流程</w:t>
          </w:r>
          <w:r>
            <w:tab/>
          </w:r>
          <w:r>
            <w:fldChar w:fldCharType="begin"/>
          </w:r>
          <w:r>
            <w:instrText xml:space="preserve"> PAGEREF _Toc3233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939F88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应急响应机制</w:t>
          </w:r>
          <w:r>
            <w:tab/>
          </w:r>
          <w:r>
            <w:fldChar w:fldCharType="begin"/>
          </w:r>
          <w:r>
            <w:instrText xml:space="preserve"> PAGEREF _Toc25561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1F6F2D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风险控制与保障措施</w:t>
          </w:r>
          <w:r>
            <w:tab/>
          </w:r>
          <w:r>
            <w:fldChar w:fldCharType="begin"/>
          </w:r>
          <w:r>
            <w:instrText xml:space="preserve"> PAGEREF _Toc14578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53D6A6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主要风险识别</w:t>
          </w:r>
          <w:r>
            <w:tab/>
          </w:r>
          <w:r>
            <w:fldChar w:fldCharType="begin"/>
          </w:r>
          <w:r>
            <w:instrText xml:space="preserve"> PAGEREF _Toc18645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8DEB3C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风险应对措施</w:t>
          </w:r>
          <w:r>
            <w:tab/>
          </w:r>
          <w:r>
            <w:fldChar w:fldCharType="begin"/>
          </w:r>
          <w:r>
            <w:instrText xml:space="preserve"> PAGEREF _Toc19799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68E237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预算与资源保障</w:t>
          </w:r>
          <w:r>
            <w:tab/>
          </w:r>
          <w:r>
            <w:fldChar w:fldCharType="begin"/>
          </w:r>
          <w:r>
            <w:instrText xml:space="preserve"> PAGEREF _Toc15939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B421B8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扩容预算</w:t>
          </w:r>
          <w:r>
            <w:tab/>
          </w:r>
          <w:r>
            <w:fldChar w:fldCharType="begin"/>
          </w:r>
          <w:r>
            <w:instrText xml:space="preserve"> PAGEREF _Toc24409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78FF40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资源保障</w:t>
          </w:r>
          <w:r>
            <w:tab/>
          </w:r>
          <w:r>
            <w:fldChar w:fldCharType="begin"/>
          </w:r>
          <w:r>
            <w:instrText xml:space="preserve"> PAGEREF _Toc4858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F0D2BF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持续改进机制</w:t>
          </w:r>
          <w:r>
            <w:tab/>
          </w:r>
          <w:r>
            <w:fldChar w:fldCharType="begin"/>
          </w:r>
          <w:r>
            <w:instrText xml:space="preserve"> PAGEREF _Toc7198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862504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定期评估</w:t>
          </w:r>
          <w:r>
            <w:tab/>
          </w:r>
          <w:r>
            <w:fldChar w:fldCharType="begin"/>
          </w:r>
          <w:r>
            <w:instrText xml:space="preserve"> PAGEREF _Toc6792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8224B8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改进措施</w:t>
          </w:r>
          <w:r>
            <w:tab/>
          </w:r>
          <w:r>
            <w:fldChar w:fldCharType="begin"/>
          </w:r>
          <w:r>
            <w:instrText xml:space="preserve"> PAGEREF _Toc32761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27389F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附件清单</w:t>
          </w:r>
          <w:r>
            <w:tab/>
          </w:r>
          <w:r>
            <w:fldChar w:fldCharType="begin"/>
          </w:r>
          <w:r>
            <w:instrText xml:space="preserve"> PAGEREF _Toc25353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D2517A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15D15E1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E9DFE8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5A31C3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3605"/>
      <w:r>
        <w:rPr>
          <w:rFonts w:hint="default"/>
          <w:lang w:val="en-US" w:eastAsia="zh-CN"/>
        </w:rPr>
        <w:t>项目背景与扩容必要性</w:t>
      </w:r>
      <w:bookmarkEnd w:id="7"/>
    </w:p>
    <w:p w14:paraId="438F7B7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5495"/>
      <w:r>
        <w:rPr>
          <w:rFonts w:hint="default"/>
          <w:lang w:val="en-US" w:eastAsia="zh-CN"/>
        </w:rPr>
        <w:t>项目现状分析</w:t>
      </w:r>
      <w:bookmarkEnd w:id="8"/>
    </w:p>
    <w:p w14:paraId="3956C65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《盐都区新能源汽车充电站建设项目容量管理计划》，项目计划建设充电车位60个，配置多种功率充电设备。项目需满足合同约定的技术标准与服务质量要求，包括系统响应时间≤2秒、设备使用率≤85%、存储余量≥30%等关键性能指标。</w:t>
      </w:r>
    </w:p>
    <w:p w14:paraId="10D8E35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1491"/>
      <w:r>
        <w:rPr>
          <w:rFonts w:hint="default"/>
          <w:lang w:val="en-US" w:eastAsia="zh-CN"/>
        </w:rPr>
        <w:t>扩容驱动因素</w:t>
      </w:r>
      <w:bookmarkEnd w:id="9"/>
    </w:p>
    <w:p w14:paraId="309D2E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业务增长需求：新能源汽车普及率快速提升，充电需求呈指数级增长</w:t>
      </w:r>
    </w:p>
    <w:p w14:paraId="335510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技术更新迭代：充电技术快速发展，现有设备可能无法满足未来高效充电需求</w:t>
      </w:r>
    </w:p>
    <w:p w14:paraId="1EC1BC7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服务承诺要求：合同约定的7×24小时运维支持、故障快速响应等服务标准</w:t>
      </w:r>
    </w:p>
    <w:p w14:paraId="55583E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系统稳定性保障：确保在高峰时段系统稳定运行，避免服务中断</w:t>
      </w:r>
    </w:p>
    <w:p w14:paraId="1D057C9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3955"/>
      <w:r>
        <w:rPr>
          <w:rFonts w:hint="default"/>
          <w:lang w:val="en-US" w:eastAsia="zh-CN"/>
        </w:rPr>
        <w:t>扩容总体目标</w:t>
      </w:r>
      <w:bookmarkEnd w:id="10"/>
    </w:p>
    <w:p w14:paraId="4D38E86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7544"/>
      <w:r>
        <w:rPr>
          <w:rFonts w:hint="default"/>
          <w:lang w:val="en-US" w:eastAsia="zh-CN"/>
        </w:rPr>
        <w:t>短期目标（2025年4月-2026年3月）</w:t>
      </w:r>
      <w:bookmarkEnd w:id="11"/>
    </w:p>
    <w:p w14:paraId="19BDFF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建立弹性可扩展的系统架构</w:t>
      </w:r>
    </w:p>
    <w:p w14:paraId="508F36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实现关键资源30%的冗余储备</w:t>
      </w:r>
    </w:p>
    <w:p w14:paraId="7F1DAC4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建立快速响应扩容机制</w:t>
      </w:r>
    </w:p>
    <w:p w14:paraId="7FCD04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完成团队扩容能力培训</w:t>
      </w:r>
    </w:p>
    <w:p w14:paraId="02B8AED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4911"/>
      <w:r>
        <w:rPr>
          <w:rFonts w:hint="default"/>
          <w:lang w:val="en-US" w:eastAsia="zh-CN"/>
        </w:rPr>
        <w:t>中长期目标（2026年4月及以后）</w:t>
      </w:r>
      <w:bookmarkEnd w:id="12"/>
    </w:p>
    <w:p w14:paraId="6B1835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实现系统的自动弹性伸缩</w:t>
      </w:r>
    </w:p>
    <w:p w14:paraId="29E818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建立智能容量预测模型</w:t>
      </w:r>
    </w:p>
    <w:p w14:paraId="5F6E6B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形成标准化的扩容流程体系</w:t>
      </w:r>
    </w:p>
    <w:p w14:paraId="018A1DC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达成95%以上的资源充足率</w:t>
      </w:r>
    </w:p>
    <w:p w14:paraId="18A4385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4344"/>
      <w:r>
        <w:rPr>
          <w:rFonts w:hint="default"/>
          <w:lang w:val="en-US" w:eastAsia="zh-CN"/>
        </w:rPr>
        <w:t>扩容范围与内容</w:t>
      </w:r>
      <w:bookmarkEnd w:id="13"/>
    </w:p>
    <w:p w14:paraId="255CCA5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2163"/>
      <w:r>
        <w:rPr>
          <w:rFonts w:hint="default"/>
          <w:lang w:val="en-US" w:eastAsia="zh-CN"/>
        </w:rPr>
        <w:t>硬件设施扩容</w:t>
      </w:r>
      <w:bookmarkEnd w:id="14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1608"/>
        <w:gridCol w:w="2791"/>
        <w:gridCol w:w="1302"/>
        <w:gridCol w:w="1594"/>
      </w:tblGrid>
      <w:tr w14:paraId="03B61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A4BD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扩容项目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9FB3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当前配置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172E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扩容目标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8BEB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实施时间</w:t>
            </w:r>
          </w:p>
        </w:tc>
        <w:tc>
          <w:tcPr>
            <w:tcW w:w="159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0AA1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责任部门</w:t>
            </w:r>
          </w:p>
        </w:tc>
      </w:tr>
      <w:tr w14:paraId="32C6B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3C94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充电桩数量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A737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60个车位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CB8D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预留20%扩容空间（12个）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31CB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2025年Q4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E4BA0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运维部、采购部</w:t>
            </w:r>
          </w:p>
        </w:tc>
      </w:tr>
      <w:tr w14:paraId="7B108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5E219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电力容量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564F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满足当前需求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4614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增加30%备用容量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9D9D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2025年Q3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60C02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基础环境运维</w:t>
            </w:r>
          </w:p>
        </w:tc>
      </w:tr>
      <w:tr w14:paraId="7DBE2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53224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网络带宽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D5A7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基础保障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614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提升至200%冗余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2B33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2025年Q2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298FF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网络工程师</w:t>
            </w:r>
          </w:p>
        </w:tc>
      </w:tr>
      <w:tr w14:paraId="69581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3B150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存储设备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A24D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当前需求</w:t>
            </w:r>
          </w:p>
        </w:tc>
        <w:tc>
          <w:tcPr>
            <w:tcW w:w="27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17D6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增加50%存储空间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1B50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2025年Q3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6182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软件运维工程师</w:t>
            </w:r>
          </w:p>
        </w:tc>
      </w:tr>
    </w:tbl>
    <w:p w14:paraId="43EDBCB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2254"/>
      <w:r>
        <w:rPr>
          <w:rFonts w:hint="default"/>
          <w:lang w:val="en-US" w:eastAsia="zh-CN"/>
        </w:rPr>
        <w:t>软件系统扩容</w:t>
      </w:r>
      <w:bookmarkEnd w:id="15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7"/>
        <w:gridCol w:w="1854"/>
        <w:gridCol w:w="3205"/>
        <w:gridCol w:w="1599"/>
      </w:tblGrid>
      <w:tr w14:paraId="483E9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B28ED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系统模块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36A5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扩容策略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1E53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技术方案</w:t>
            </w:r>
          </w:p>
        </w:tc>
        <w:tc>
          <w:tcPr>
            <w:tcW w:w="159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8B92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实施阶段</w:t>
            </w:r>
          </w:p>
        </w:tc>
      </w:tr>
      <w:tr w14:paraId="39297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722745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用户认证系统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4691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水平扩展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4921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增加认证服务器节点</w:t>
            </w:r>
          </w:p>
        </w:tc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8660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2025年Q3</w:t>
            </w:r>
          </w:p>
        </w:tc>
      </w:tr>
      <w:tr w14:paraId="03AA0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A2FC5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支付处理系统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03D3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分布式部署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E5E3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采用微服务架构</w:t>
            </w:r>
          </w:p>
        </w:tc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7CAC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2025年Q4</w:t>
            </w:r>
          </w:p>
        </w:tc>
      </w:tr>
      <w:tr w14:paraId="22E63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7D188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数据存储系统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A7D6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分库分表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C7E4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MySQL集群+Redis缓存</w:t>
            </w:r>
          </w:p>
        </w:tc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6094E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2025年Q2</w:t>
            </w:r>
          </w:p>
        </w:tc>
      </w:tr>
      <w:tr w14:paraId="431E4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BDD36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监控告警系统</w:t>
            </w:r>
          </w:p>
        </w:tc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CADA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冗余备份</w:t>
            </w:r>
          </w:p>
        </w:tc>
        <w:tc>
          <w:tcPr>
            <w:tcW w:w="3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4FED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多中心部署</w:t>
            </w:r>
          </w:p>
        </w:tc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5604D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2025年Q3</w:t>
            </w:r>
          </w:p>
        </w:tc>
      </w:tr>
    </w:tbl>
    <w:p w14:paraId="20C2337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1564"/>
      <w:r>
        <w:rPr>
          <w:rFonts w:hint="default"/>
          <w:lang w:val="en-US" w:eastAsia="zh-CN"/>
        </w:rPr>
        <w:t>人力资源扩容</w:t>
      </w:r>
      <w:bookmarkEnd w:id="16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2"/>
        <w:gridCol w:w="1639"/>
        <w:gridCol w:w="2329"/>
        <w:gridCol w:w="1511"/>
        <w:gridCol w:w="1624"/>
      </w:tblGrid>
      <w:tr w14:paraId="70F8E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38D3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岗位类别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90AC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当前配置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6B23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扩容计划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CC8E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扩容时间</w:t>
            </w:r>
          </w:p>
        </w:tc>
        <w:tc>
          <w:tcPr>
            <w:tcW w:w="162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D9B2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培训安排</w:t>
            </w:r>
          </w:p>
        </w:tc>
      </w:tr>
      <w:tr w14:paraId="4F8C8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E156C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2BD0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按计划配置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C0D80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增加30%备用人员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F0625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2025年Q3</w:t>
            </w:r>
          </w:p>
        </w:tc>
        <w:tc>
          <w:tcPr>
            <w:tcW w:w="16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9650C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专项技术培训</w:t>
            </w:r>
          </w:p>
        </w:tc>
      </w:tr>
      <w:tr w14:paraId="7BE0C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439096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2206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基础配置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9B67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建立二线支持团队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C4C3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2025年Q2</w:t>
            </w:r>
          </w:p>
        </w:tc>
        <w:tc>
          <w:tcPr>
            <w:tcW w:w="16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F6FFF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服务流程培训</w:t>
            </w:r>
          </w:p>
        </w:tc>
      </w:tr>
      <w:tr w14:paraId="6211D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D650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管理人员</w:t>
            </w:r>
          </w:p>
        </w:tc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477E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当前编制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F324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增加项目管理资源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0059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2025年Q4</w:t>
            </w:r>
          </w:p>
        </w:tc>
        <w:tc>
          <w:tcPr>
            <w:tcW w:w="16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EF7AA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管理能力提升</w:t>
            </w:r>
          </w:p>
        </w:tc>
      </w:tr>
    </w:tbl>
    <w:p w14:paraId="39E04B3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49"/>
      <w:r>
        <w:rPr>
          <w:rFonts w:hint="default"/>
          <w:lang w:val="en-US" w:eastAsia="zh-CN"/>
        </w:rPr>
        <w:t>扩容实施策略</w:t>
      </w:r>
      <w:bookmarkEnd w:id="17"/>
    </w:p>
    <w:p w14:paraId="1BBD0B2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4367"/>
      <w:r>
        <w:rPr>
          <w:rFonts w:hint="default"/>
          <w:lang w:val="en-US" w:eastAsia="zh-CN"/>
        </w:rPr>
        <w:t>分阶段实施计划</w:t>
      </w:r>
      <w:bookmarkEnd w:id="18"/>
    </w:p>
    <w:p w14:paraId="519A3F5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4705"/>
      <w:r>
        <w:rPr>
          <w:rFonts w:hint="default"/>
          <w:lang w:val="en-US" w:eastAsia="zh-CN"/>
        </w:rPr>
        <w:t>第一阶段：基础扩容（2025年4月-6月）</w:t>
      </w:r>
      <w:bookmarkEnd w:id="19"/>
    </w:p>
    <w:p w14:paraId="094DB87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完成网络和存储基础扩容</w:t>
      </w:r>
    </w:p>
    <w:p w14:paraId="1195BD8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建立容量监控体系</w:t>
      </w:r>
    </w:p>
    <w:p w14:paraId="3118E78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制定详细扩容流程</w:t>
      </w:r>
    </w:p>
    <w:p w14:paraId="3471C15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295"/>
      <w:r>
        <w:rPr>
          <w:rFonts w:hint="default"/>
          <w:lang w:val="en-US" w:eastAsia="zh-CN"/>
        </w:rPr>
        <w:t>第二阶段：系统优化（2025年7月-9月）</w:t>
      </w:r>
      <w:bookmarkEnd w:id="20"/>
    </w:p>
    <w:p w14:paraId="683FF98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实施软件系统架构优化</w:t>
      </w:r>
    </w:p>
    <w:p w14:paraId="5FE188B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完成硬件设备预留部署</w:t>
      </w:r>
    </w:p>
    <w:p w14:paraId="1EAE92C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建立应急响应机制</w:t>
      </w:r>
    </w:p>
    <w:p w14:paraId="2AEFCC8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7513"/>
      <w:r>
        <w:rPr>
          <w:rFonts w:hint="default"/>
          <w:lang w:val="en-US" w:eastAsia="zh-CN"/>
        </w:rPr>
        <w:t>第三阶段：能力提升（2025年10月-12月）</w:t>
      </w:r>
      <w:bookmarkEnd w:id="21"/>
    </w:p>
    <w:p w14:paraId="185BB56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完成团队扩容能力培训</w:t>
      </w:r>
    </w:p>
    <w:p w14:paraId="68A738B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实施首次扩容演练</w:t>
      </w:r>
    </w:p>
    <w:p w14:paraId="5E7295A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优化扩容流程</w:t>
      </w:r>
    </w:p>
    <w:p w14:paraId="44024AC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8107"/>
      <w:r>
        <w:rPr>
          <w:rFonts w:hint="default"/>
          <w:lang w:val="en-US" w:eastAsia="zh-CN"/>
        </w:rPr>
        <w:t>第四阶段：持续改进（2026年1月-3月）</w:t>
      </w:r>
      <w:bookmarkEnd w:id="22"/>
    </w:p>
    <w:p w14:paraId="1B9DC9A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分析扩容效果</w:t>
      </w:r>
    </w:p>
    <w:p w14:paraId="4762CF0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优化扩容策略</w:t>
      </w:r>
    </w:p>
    <w:p w14:paraId="1982950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建立长期容量规划</w:t>
      </w:r>
    </w:p>
    <w:p w14:paraId="71B63C8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2244"/>
      <w:r>
        <w:rPr>
          <w:rFonts w:hint="default"/>
          <w:lang w:val="en-US" w:eastAsia="zh-CN"/>
        </w:rPr>
        <w:t>技术实施方案</w:t>
      </w:r>
      <w:bookmarkEnd w:id="23"/>
    </w:p>
    <w:p w14:paraId="156147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云原生架构：采用容器化部署，支持快速弹性伸缩</w:t>
      </w:r>
    </w:p>
    <w:p w14:paraId="7169953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微服务设计：各功能模块独立部署，降低扩容复杂度</w:t>
      </w:r>
    </w:p>
    <w:p w14:paraId="4351D12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自动化运维：建立自动化部署和监控体系</w:t>
      </w:r>
    </w:p>
    <w:p w14:paraId="07CA382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数据备份策略：实现数据多副本存储和快速恢复</w:t>
      </w:r>
    </w:p>
    <w:p w14:paraId="09B4C80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2381"/>
      <w:r>
        <w:rPr>
          <w:rFonts w:hint="default"/>
          <w:lang w:val="en-US" w:eastAsia="zh-CN"/>
        </w:rPr>
        <w:t>扩容管理机制</w:t>
      </w:r>
      <w:bookmarkEnd w:id="24"/>
    </w:p>
    <w:p w14:paraId="0A1DA03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28726"/>
      <w:r>
        <w:rPr>
          <w:rFonts w:hint="default"/>
          <w:lang w:val="en-US" w:eastAsia="zh-CN"/>
        </w:rPr>
        <w:t>容量监控体系</w:t>
      </w:r>
      <w:bookmarkEnd w:id="25"/>
    </w:p>
    <w:p w14:paraId="636BFAF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实时监控：7×24小时系统性能监控</w:t>
      </w:r>
    </w:p>
    <w:p w14:paraId="02E26EE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阈值预警：设置多级预警阈值（70%、85%、90%）</w:t>
      </w:r>
    </w:p>
    <w:p w14:paraId="2A51C35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趋势分析：基于历史数据的容量预测</w:t>
      </w:r>
    </w:p>
    <w:p w14:paraId="73EB97D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性能测试：定期进行压力测试和性能评估</w:t>
      </w:r>
    </w:p>
    <w:p w14:paraId="66629CD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3233"/>
      <w:r>
        <w:rPr>
          <w:rFonts w:hint="default"/>
          <w:lang w:val="en-US" w:eastAsia="zh-CN"/>
        </w:rPr>
        <w:t>扩容决策流程</w:t>
      </w:r>
      <w:bookmarkEnd w:id="26"/>
    </w:p>
    <w:p w14:paraId="1FDD660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容量监控 → 阈值触发 → 分析评估 → 方案制定 → 审批执行 → 效果验证</w:t>
      </w:r>
    </w:p>
    <w:p w14:paraId="21C2AA6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5561"/>
      <w:r>
        <w:rPr>
          <w:rFonts w:hint="default"/>
          <w:lang w:val="en-US" w:eastAsia="zh-CN"/>
        </w:rPr>
        <w:t>应急响应机制</w:t>
      </w:r>
      <w:bookmarkEnd w:id="27"/>
    </w:p>
    <w:p w14:paraId="49F7231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快速响应：30分钟内启动应急扩容</w:t>
      </w:r>
    </w:p>
    <w:p w14:paraId="4999B19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资源调配：优先使用预留资源</w:t>
      </w:r>
    </w:p>
    <w:p w14:paraId="199951A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协同作战：多部门联合应急响应</w:t>
      </w:r>
    </w:p>
    <w:p w14:paraId="3A73429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事后评估：每次扩容后进行评估改进</w:t>
      </w:r>
    </w:p>
    <w:p w14:paraId="4DDECC2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14578"/>
      <w:r>
        <w:rPr>
          <w:rFonts w:hint="default"/>
          <w:lang w:val="en-US" w:eastAsia="zh-CN"/>
        </w:rPr>
        <w:t>风险控制与保障措施</w:t>
      </w:r>
      <w:bookmarkEnd w:id="28"/>
    </w:p>
    <w:p w14:paraId="3A4E077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18645"/>
      <w:r>
        <w:rPr>
          <w:rFonts w:hint="default"/>
          <w:lang w:val="en-US" w:eastAsia="zh-CN"/>
        </w:rPr>
        <w:t>主要风险识别</w:t>
      </w:r>
      <w:bookmarkEnd w:id="29"/>
    </w:p>
    <w:p w14:paraId="6A7048F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技术风险：新旧系统兼容性问题</w:t>
      </w:r>
    </w:p>
    <w:p w14:paraId="76F3C0C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成本风险：扩容预算超支</w:t>
      </w:r>
    </w:p>
    <w:p w14:paraId="203E6F0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时间风险：扩容影响正常服务</w:t>
      </w:r>
    </w:p>
    <w:p w14:paraId="1B3D2C7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质量风险：扩容后系统稳定性下降</w:t>
      </w:r>
    </w:p>
    <w:p w14:paraId="6E377EE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19799"/>
      <w:r>
        <w:rPr>
          <w:rFonts w:hint="default"/>
          <w:lang w:val="en-US" w:eastAsia="zh-CN"/>
        </w:rPr>
        <w:t>风险应对措施</w:t>
      </w:r>
      <w:bookmarkEnd w:id="30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7"/>
        <w:gridCol w:w="2514"/>
        <w:gridCol w:w="2514"/>
        <w:gridCol w:w="1900"/>
      </w:tblGrid>
      <w:tr w14:paraId="75562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F726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风险类型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F59F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预防措施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2731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应急预案</w:t>
            </w:r>
          </w:p>
        </w:tc>
        <w:tc>
          <w:tcPr>
            <w:tcW w:w="19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CD94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责任部门</w:t>
            </w:r>
          </w:p>
        </w:tc>
      </w:tr>
      <w:tr w14:paraId="73373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18898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技术风险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02B0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充分技术验证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5431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快速回滚机制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7AF59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研发部</w:t>
            </w:r>
          </w:p>
        </w:tc>
      </w:tr>
      <w:tr w14:paraId="39AA4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573C9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成本风险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1B5B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精确成本核算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0498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备用预算准备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152D7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采购部</w:t>
            </w:r>
          </w:p>
        </w:tc>
      </w:tr>
      <w:tr w14:paraId="7A51A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09802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时间风险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3391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分阶段实施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6E77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临时替代方案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6E07B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</w:t>
            </w:r>
          </w:p>
        </w:tc>
      </w:tr>
      <w:tr w14:paraId="5CFCC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7F973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质量风险</w:t>
            </w:r>
          </w:p>
        </w:tc>
        <w:tc>
          <w:tcPr>
            <w:tcW w:w="2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193E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严格测试验证</w:t>
            </w:r>
          </w:p>
        </w:tc>
        <w:tc>
          <w:tcPr>
            <w:tcW w:w="2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9914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质量监控加强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422DF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质量部</w:t>
            </w:r>
          </w:p>
        </w:tc>
      </w:tr>
    </w:tbl>
    <w:p w14:paraId="7CEFD10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15939"/>
      <w:r>
        <w:rPr>
          <w:rFonts w:hint="default"/>
          <w:lang w:val="en-US" w:eastAsia="zh-CN"/>
        </w:rPr>
        <w:t>预算与资源保障</w:t>
      </w:r>
      <w:bookmarkEnd w:id="31"/>
    </w:p>
    <w:p w14:paraId="7D349AD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24409"/>
      <w:r>
        <w:rPr>
          <w:rFonts w:hint="default"/>
          <w:lang w:val="en-US" w:eastAsia="zh-CN"/>
        </w:rPr>
        <w:t>扩容预算</w:t>
      </w:r>
      <w:bookmarkEnd w:id="32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8"/>
        <w:gridCol w:w="2036"/>
        <w:gridCol w:w="2745"/>
        <w:gridCol w:w="2036"/>
      </w:tblGrid>
      <w:tr w14:paraId="1FD11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7A236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0BFC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预算金额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DEE9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使用时间</w:t>
            </w:r>
          </w:p>
        </w:tc>
        <w:tc>
          <w:tcPr>
            <w:tcW w:w="203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247FD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审批权限</w:t>
            </w:r>
          </w:p>
        </w:tc>
      </w:tr>
      <w:tr w14:paraId="02116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CAF78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硬件设备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7658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待核算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E83F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2025年Q3-Q4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859D2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副总经理</w:t>
            </w:r>
          </w:p>
        </w:tc>
      </w:tr>
      <w:tr w14:paraId="594E3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A03A8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软件许可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2B5D5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待核算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34C1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2025年Q2-Q3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89717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研发部经理</w:t>
            </w:r>
          </w:p>
        </w:tc>
      </w:tr>
      <w:tr w14:paraId="583C9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75334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人力成本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81385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待核算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1286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全年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D12C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人力资源部</w:t>
            </w:r>
          </w:p>
        </w:tc>
      </w:tr>
      <w:tr w14:paraId="6D7A6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635E4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培训费用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D8F3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待核算</w:t>
            </w:r>
          </w:p>
        </w:tc>
        <w:tc>
          <w:tcPr>
            <w:tcW w:w="27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C135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全年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84053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综合管理部</w:t>
            </w:r>
          </w:p>
        </w:tc>
      </w:tr>
    </w:tbl>
    <w:p w14:paraId="12FE116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4858"/>
      <w:r>
        <w:rPr>
          <w:rFonts w:hint="default"/>
          <w:lang w:val="en-US" w:eastAsia="zh-CN"/>
        </w:rPr>
        <w:t>资源保障</w:t>
      </w:r>
      <w:bookmarkEnd w:id="33"/>
    </w:p>
    <w:p w14:paraId="6167D49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人力保障：建立扩容专项团队</w:t>
      </w:r>
    </w:p>
    <w:p w14:paraId="5641590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物资保障：确保设备材料及时供应</w:t>
      </w:r>
    </w:p>
    <w:p w14:paraId="1A88A6A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技术保障：专业技术支持团队</w:t>
      </w:r>
    </w:p>
    <w:p w14:paraId="04F578F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资金保障：专项扩容预算资金</w:t>
      </w:r>
    </w:p>
    <w:p w14:paraId="0BAC2EE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_Toc7198"/>
      <w:r>
        <w:rPr>
          <w:rFonts w:hint="default"/>
          <w:lang w:val="en-US" w:eastAsia="zh-CN"/>
        </w:rPr>
        <w:t>持续改进机制</w:t>
      </w:r>
      <w:bookmarkEnd w:id="34"/>
    </w:p>
    <w:p w14:paraId="7B29481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_Toc6792"/>
      <w:r>
        <w:rPr>
          <w:rFonts w:hint="default"/>
          <w:lang w:val="en-US" w:eastAsia="zh-CN"/>
        </w:rPr>
        <w:t>定期评估</w:t>
      </w:r>
      <w:bookmarkEnd w:id="35"/>
    </w:p>
    <w:p w14:paraId="477968D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季度评估：每季度进行扩容效果评估</w:t>
      </w:r>
    </w:p>
    <w:p w14:paraId="5CC0256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年度总结：每年进行扩容工作总结</w:t>
      </w:r>
    </w:p>
    <w:p w14:paraId="4E761C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专项审计：不定期进行扩容专项审计</w:t>
      </w:r>
    </w:p>
    <w:p w14:paraId="20542C7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_Toc32761"/>
      <w:r>
        <w:rPr>
          <w:rFonts w:hint="default"/>
          <w:lang w:val="en-US" w:eastAsia="zh-CN"/>
        </w:rPr>
        <w:t>改进措施</w:t>
      </w:r>
      <w:bookmarkEnd w:id="36"/>
    </w:p>
    <w:p w14:paraId="46FECFD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流程优化：持续优化扩容流程</w:t>
      </w:r>
    </w:p>
    <w:p w14:paraId="1147497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技术升级：采用更先进的扩容技术</w:t>
      </w:r>
    </w:p>
    <w:p w14:paraId="3EBA7AD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能力提升：不断提升团队扩容能力</w:t>
      </w:r>
    </w:p>
    <w:p w14:paraId="3818567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经验沉淀：形成可复用的扩容模式</w:t>
      </w:r>
    </w:p>
    <w:p w14:paraId="0C7F2B09">
      <w:pPr>
        <w:pStyle w:val="28"/>
        <w:bidi w:val="0"/>
        <w:rPr>
          <w:rFonts w:hint="default"/>
          <w:lang w:val="en-US" w:eastAsia="zh-CN"/>
        </w:rPr>
      </w:pPr>
      <w:bookmarkStart w:id="37" w:name="_Toc25353"/>
      <w:r>
        <w:rPr>
          <w:rFonts w:hint="default"/>
          <w:lang w:val="en-US" w:eastAsia="zh-CN"/>
        </w:rPr>
        <w:t>附件清单</w:t>
      </w:r>
      <w:bookmarkEnd w:id="37"/>
    </w:p>
    <w:p w14:paraId="1347902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附件一：扩容设备清单与技术参数</w:t>
      </w:r>
    </w:p>
    <w:p w14:paraId="280EC17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附件二：扩容实施详细时间表</w:t>
      </w:r>
    </w:p>
    <w:p w14:paraId="168A480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附件三：扩容应急预案流程</w:t>
      </w:r>
    </w:p>
    <w:p w14:paraId="77C4488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附件四：扩容质量检查清单</w:t>
      </w:r>
    </w:p>
    <w:p w14:paraId="1322FE1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附件五：扩容成本预算明细表</w:t>
      </w:r>
    </w:p>
    <w:p w14:paraId="35127DC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0" w:footer="99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C80F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5220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E2A0E"/>
    <w:rsid w:val="011253ED"/>
    <w:rsid w:val="01791910"/>
    <w:rsid w:val="08AA44F4"/>
    <w:rsid w:val="0E3A2285"/>
    <w:rsid w:val="0E7C3CF1"/>
    <w:rsid w:val="0FE443F8"/>
    <w:rsid w:val="12064188"/>
    <w:rsid w:val="12C27C3B"/>
    <w:rsid w:val="12E44CE8"/>
    <w:rsid w:val="1D64304A"/>
    <w:rsid w:val="22611685"/>
    <w:rsid w:val="23E629DD"/>
    <w:rsid w:val="29C830FC"/>
    <w:rsid w:val="2B1E0CAF"/>
    <w:rsid w:val="30F73B34"/>
    <w:rsid w:val="313A6CEB"/>
    <w:rsid w:val="38F848ED"/>
    <w:rsid w:val="3DC92CFC"/>
    <w:rsid w:val="4225102D"/>
    <w:rsid w:val="49EB5DA8"/>
    <w:rsid w:val="4A5B1180"/>
    <w:rsid w:val="4A6F0787"/>
    <w:rsid w:val="4C2725D5"/>
    <w:rsid w:val="4C475FD9"/>
    <w:rsid w:val="4E4168DE"/>
    <w:rsid w:val="50016325"/>
    <w:rsid w:val="543D5452"/>
    <w:rsid w:val="5BC326E1"/>
    <w:rsid w:val="5C8018F9"/>
    <w:rsid w:val="65BA7198"/>
    <w:rsid w:val="69070C28"/>
    <w:rsid w:val="758049DE"/>
    <w:rsid w:val="75846F2D"/>
    <w:rsid w:val="77297D8C"/>
    <w:rsid w:val="7CAC1243"/>
    <w:rsid w:val="7EBB49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1701</Words>
  <Characters>1965</Characters>
  <Lines>0</Lines>
  <Paragraphs>0</Paragraphs>
  <TotalTime>0</TotalTime>
  <ScaleCrop>false</ScaleCrop>
  <LinksUpToDate>false</LinksUpToDate>
  <CharactersWithSpaces>2111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2025-08-21T06:31:00Z</dcterms:created>
  <dc:creator>18442</dc:creator>
  <cp:lastModifiedBy>郝宇</cp:lastModifiedBy>
  <dcterms:modified xsi:type="dcterms:W3CDTF">2026-02-27T08:17:17Z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6EEDEB6CDA2C404BA91D0B02197B4709_12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