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2611"/>
    </w:p>
    <w:bookmarkEnd w:id="0"/>
    <w:p w14:paraId="533CC9F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2091"/>
      <w:r>
        <w:rPr>
          <w:rFonts w:hint="eastAsia"/>
          <w:lang w:val="en-US" w:eastAsia="zh-CN"/>
        </w:rPr>
        <w:t>盐都区新能源汽车充电桩建设项目</w:t>
      </w:r>
      <w:bookmarkEnd w:id="1"/>
    </w:p>
    <w:p w14:paraId="7268721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2" w:name="_Toc25597"/>
      <w:bookmarkStart w:id="3" w:name="_Toc17781"/>
      <w:r>
        <w:rPr>
          <w:rFonts w:hint="eastAsia"/>
          <w:lang w:val="en-US" w:eastAsia="zh-CN"/>
        </w:rPr>
        <w:t>服务可用性和连续性管理报告</w:t>
      </w:r>
      <w:bookmarkEnd w:id="2"/>
    </w:p>
    <w:p w14:paraId="48E2BFF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940"/>
      <w:r>
        <w:t>中达丰集团有限公司</w:t>
      </w:r>
      <w:bookmarkEnd w:id="3"/>
      <w:bookmarkEnd w:id="4"/>
    </w:p>
    <w:p w14:paraId="3A273B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12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2B0249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CB7B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34052D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5" w:name="_Toc16271"/>
      <w:bookmarkStart w:id="6" w:name="_Toc13195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5"/>
      <w:bookmarkEnd w:id="6"/>
    </w:p>
    <w:p w14:paraId="24C8EC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服务可用性和连续性管理报告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FWKYXHLXXGL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8A93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6E89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EC2B8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088E75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E6587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3B0FC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47BCA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DF8E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0B46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715DCFB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4811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1DE5BD9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B79DCE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3B2B6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FE2F3C7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盐都区新能源汽车充电桩建设项目</w:t>
          </w:r>
          <w:r>
            <w:tab/>
          </w:r>
          <w:r>
            <w:fldChar w:fldCharType="begin"/>
          </w:r>
          <w:r>
            <w:instrText xml:space="preserve"> PAGEREF _Toc2091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64E60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_Toc25597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_Toc25597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E58A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_Toc3940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A3DFF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_Toc13195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_Toc13195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8DBAF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_Toc27441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A9839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核心指标达成情况</w:t>
          </w:r>
          <w:r>
            <w:tab/>
          </w:r>
          <w:r>
            <w:fldChar w:fldCharType="begin"/>
          </w:r>
          <w:r>
            <w:instrText xml:space="preserve"> PAGEREF _Toc21083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0130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服务可用性保障情况</w:t>
          </w:r>
          <w:r>
            <w:tab/>
          </w:r>
          <w:r>
            <w:fldChar w:fldCharType="begin"/>
          </w:r>
          <w:r>
            <w:instrText xml:space="preserve"> PAGEREF _Toc17208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E7786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监控与告警情况</w:t>
          </w:r>
          <w:r>
            <w:tab/>
          </w:r>
          <w:r>
            <w:fldChar w:fldCharType="begin"/>
          </w:r>
          <w:r>
            <w:instrText xml:space="preserve"> PAGEREF _Toc19330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91138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事件处理情况</w:t>
          </w:r>
          <w:r>
            <w:tab/>
          </w:r>
          <w:r>
            <w:fldChar w:fldCharType="begin"/>
          </w:r>
          <w:r>
            <w:instrText xml:space="preserve"> PAGEREF _Toc30773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1B801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预防性维护执行情况</w:t>
          </w:r>
          <w:r>
            <w:tab/>
          </w:r>
          <w:r>
            <w:fldChar w:fldCharType="begin"/>
          </w:r>
          <w:r>
            <w:instrText xml:space="preserve"> PAGEREF _Toc24280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F06B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业务连续性管理情况</w:t>
          </w:r>
          <w:r>
            <w:tab/>
          </w:r>
          <w:r>
            <w:fldChar w:fldCharType="begin"/>
          </w:r>
          <w:r>
            <w:instrText xml:space="preserve"> PAGEREF _Toc27750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46449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应急预案演练</w:t>
          </w:r>
          <w:r>
            <w:tab/>
          </w:r>
          <w:r>
            <w:fldChar w:fldCharType="begin"/>
          </w:r>
          <w:r>
            <w:instrText xml:space="preserve"> PAGEREF _Toc10316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CE5AF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连续性事件处理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02401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关键资源保障情况</w:t>
          </w:r>
          <w:r>
            <w:tab/>
          </w:r>
          <w:r>
            <w:fldChar w:fldCharType="begin"/>
          </w:r>
          <w:r>
            <w:instrText xml:space="preserve"> PAGEREF _Toc2712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80DAC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可用性改进计划</w:t>
          </w:r>
          <w:r>
            <w:tab/>
          </w:r>
          <w:r>
            <w:fldChar w:fldCharType="begin"/>
          </w:r>
          <w:r>
            <w:instrText xml:space="preserve"> PAGEREF _Toc15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608B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下阶段工作重点</w:t>
          </w:r>
          <w:r>
            <w:tab/>
          </w:r>
          <w:r>
            <w:fldChar w:fldCharType="begin"/>
          </w:r>
          <w:r>
            <w:instrText xml:space="preserve"> PAGEREF _Toc16598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2517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5D15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E9DF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5127DC3">
      <w:pPr>
        <w:pStyle w:val="28"/>
        <w:bidi w:val="0"/>
        <w:rPr>
          <w:rFonts w:hint="eastAsia"/>
          <w:lang w:val="en-US" w:eastAsia="zh-CN"/>
        </w:rPr>
      </w:pPr>
      <w:bookmarkStart w:id="7" w:name="_Toc27441"/>
      <w:r>
        <w:rPr>
          <w:rFonts w:hint="eastAsia"/>
          <w:lang w:val="en-US" w:eastAsia="zh-CN"/>
        </w:rPr>
        <w:t>概述</w:t>
      </w:r>
      <w:bookmarkEnd w:id="7"/>
    </w:p>
    <w:p w14:paraId="6D4BB085">
      <w:pPr>
        <w:pStyle w:val="29"/>
        <w:bidi w:val="0"/>
        <w:rPr>
          <w:rFonts w:hint="default"/>
        </w:rPr>
      </w:pPr>
      <w:r>
        <w:t>本报告依据《盐都区新能源汽车充电站建设项目服务可用性和连续性管理计划》的要求，对项目在</w:t>
      </w:r>
      <w:r>
        <w:rPr>
          <w:rFonts w:hint="default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年第</w:t>
      </w:r>
      <w:r>
        <w:rPr>
          <w:rFonts w:hint="eastAsia"/>
          <w:lang w:val="en-US" w:eastAsia="zh-CN"/>
        </w:rPr>
        <w:t>四</w:t>
      </w:r>
      <w:r>
        <w:rPr>
          <w:rFonts w:hint="default"/>
        </w:rPr>
        <w:t>季度的运营情况进行总结与分析。报告内容涵盖核心指标达成情况、关键管理活动执行、重大事件处理及资源保障状态，旨在全面评估服务可用性与连续性管理的有效性，并为下季度工作提供决策依据。</w:t>
      </w:r>
    </w:p>
    <w:p w14:paraId="76E7FC9C">
      <w:pPr>
        <w:pStyle w:val="28"/>
        <w:bidi w:val="0"/>
        <w:rPr>
          <w:rFonts w:hint="eastAsia"/>
          <w:lang w:val="en-US" w:eastAsia="zh-CN"/>
        </w:rPr>
      </w:pPr>
      <w:bookmarkStart w:id="8" w:name="_Toc21083"/>
      <w:r>
        <w:rPr>
          <w:rFonts w:hint="eastAsia"/>
          <w:lang w:val="en-US" w:eastAsia="zh-CN"/>
        </w:rPr>
        <w:t>核心指标达成情况</w:t>
      </w:r>
      <w:bookmarkEnd w:id="8"/>
    </w:p>
    <w:p w14:paraId="7FC69158">
      <w:pPr>
        <w:pStyle w:val="29"/>
        <w:bidi w:val="0"/>
      </w:pPr>
      <w:r>
        <w:t>本季度严格遵循《服务可用性和业务连续性管理制度》设定的两项关键指标进行考核，具体达成情况如下：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7"/>
        <w:gridCol w:w="1063"/>
        <w:gridCol w:w="792"/>
        <w:gridCol w:w="1141"/>
        <w:gridCol w:w="859"/>
        <w:gridCol w:w="4080"/>
      </w:tblGrid>
      <w:tr w14:paraId="5EF3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3A32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0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38C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衡量指标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C8B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181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本季度实际值</w:t>
            </w:r>
          </w:p>
        </w:tc>
        <w:tc>
          <w:tcPr>
            <w:tcW w:w="8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4723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达成情况</w:t>
            </w:r>
          </w:p>
        </w:tc>
        <w:tc>
          <w:tcPr>
            <w:tcW w:w="407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E9F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分析与说明</w:t>
            </w:r>
          </w:p>
        </w:tc>
      </w:tr>
      <w:tr w14:paraId="0394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8740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8FE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业务可用性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8E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 99%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C0D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%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AA2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AC5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本季度服务持续可用</w:t>
            </w:r>
          </w:p>
        </w:tc>
      </w:tr>
      <w:tr w14:paraId="0E2A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54E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D0D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服务连续性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22A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 2次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1AE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0次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CE4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达成</w:t>
            </w:r>
          </w:p>
        </w:tc>
        <w:tc>
          <w:tcPr>
            <w:tcW w:w="40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FDB2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本季度未发生由火灾、大规模断电、硬件瘫痪等突发事件导致的服务完全中断。</w:t>
            </w:r>
          </w:p>
        </w:tc>
      </w:tr>
    </w:tbl>
    <w:p w14:paraId="319CADC2">
      <w:pPr>
        <w:pStyle w:val="28"/>
        <w:bidi w:val="0"/>
        <w:rPr>
          <w:rFonts w:hint="eastAsia"/>
          <w:lang w:val="en-US" w:eastAsia="zh-CN"/>
        </w:rPr>
      </w:pPr>
      <w:bookmarkStart w:id="9" w:name="_Toc17208"/>
      <w:r>
        <w:rPr>
          <w:rFonts w:hint="eastAsia"/>
          <w:lang w:val="en-US" w:eastAsia="zh-CN"/>
        </w:rPr>
        <w:t>服务可用性保障情况</w:t>
      </w:r>
      <w:bookmarkEnd w:id="9"/>
    </w:p>
    <w:p w14:paraId="07BC0C76">
      <w:pPr>
        <w:pStyle w:val="30"/>
        <w:bidi w:val="0"/>
        <w:rPr>
          <w:rFonts w:hint="default"/>
          <w:lang w:val="en-US" w:eastAsia="zh-CN"/>
        </w:rPr>
      </w:pPr>
      <w:bookmarkStart w:id="10" w:name="_Toc19330"/>
      <w:r>
        <w:rPr>
          <w:rFonts w:hint="default"/>
          <w:lang w:val="en-US" w:eastAsia="zh-CN"/>
        </w:rPr>
        <w:t>监控与告警情况</w:t>
      </w:r>
      <w:bookmarkEnd w:id="10"/>
    </w:p>
    <w:p w14:paraId="1347182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监控平台7×24小时运行正常，共产生告警42条，其中：</w:t>
      </w:r>
    </w:p>
    <w:p w14:paraId="3D8917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紧急告警：3条（已全部处理）</w:t>
      </w:r>
    </w:p>
    <w:p w14:paraId="4573D99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重要告警：12条（已全部处理）</w:t>
      </w:r>
    </w:p>
    <w:p w14:paraId="3411AB4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一般告警：27条（已闭环）</w:t>
      </w:r>
    </w:p>
    <w:p w14:paraId="42CC21E5">
      <w:pPr>
        <w:pStyle w:val="30"/>
        <w:bidi w:val="0"/>
        <w:rPr>
          <w:rFonts w:hint="default"/>
          <w:lang w:val="en-US" w:eastAsia="zh-CN"/>
        </w:rPr>
      </w:pPr>
      <w:bookmarkStart w:id="11" w:name="_Toc30773"/>
      <w:r>
        <w:rPr>
          <w:rFonts w:hint="default"/>
          <w:lang w:val="en-US" w:eastAsia="zh-CN"/>
        </w:rPr>
        <w:t>事件处理情况</w:t>
      </w:r>
      <w:bookmarkEnd w:id="11"/>
    </w:p>
    <w:p w14:paraId="245E864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服务台共受理事件58起，平均响应时间8分钟，平均修复时间35分钟。</w:t>
      </w:r>
    </w:p>
    <w:p w14:paraId="0E395DF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主要故障类型：网络连接异常（18起）、充电桩通信模块故障（10起）、电力波动（5起）。</w:t>
      </w:r>
    </w:p>
    <w:p w14:paraId="78ADAC2A">
      <w:pPr>
        <w:pStyle w:val="30"/>
        <w:bidi w:val="0"/>
        <w:rPr>
          <w:rFonts w:hint="default"/>
          <w:lang w:val="en-US" w:eastAsia="zh-CN"/>
        </w:rPr>
      </w:pPr>
      <w:bookmarkStart w:id="12" w:name="_Toc24280"/>
      <w:r>
        <w:rPr>
          <w:rFonts w:hint="default"/>
          <w:lang w:val="en-US" w:eastAsia="zh-CN"/>
        </w:rPr>
        <w:t>预防性维护执行情况</w:t>
      </w:r>
      <w:bookmarkEnd w:id="12"/>
    </w:p>
    <w:p w14:paraId="74BA0E1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完成月度预防性维护计划3次，覆盖全部充电站。</w:t>
      </w:r>
    </w:p>
    <w:p w14:paraId="54F74B3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发现并提前处理潜在风险点7处，如电缆接头松动、网络设备散热不良等。</w:t>
      </w:r>
    </w:p>
    <w:p w14:paraId="0C0F5759">
      <w:pPr>
        <w:pStyle w:val="28"/>
        <w:bidi w:val="0"/>
        <w:rPr>
          <w:rFonts w:hint="eastAsia"/>
          <w:lang w:val="en-US" w:eastAsia="zh-CN"/>
        </w:rPr>
      </w:pPr>
      <w:bookmarkStart w:id="13" w:name="_Toc27750"/>
      <w:r>
        <w:rPr>
          <w:rFonts w:hint="eastAsia"/>
          <w:lang w:val="en-US" w:eastAsia="zh-CN"/>
        </w:rPr>
        <w:t>业务连续性管理情况</w:t>
      </w:r>
      <w:bookmarkEnd w:id="13"/>
    </w:p>
    <w:p w14:paraId="6716C893">
      <w:pPr>
        <w:pStyle w:val="30"/>
        <w:bidi w:val="0"/>
        <w:rPr>
          <w:rFonts w:hint="eastAsia"/>
          <w:lang w:val="en-US" w:eastAsia="zh-CN"/>
        </w:rPr>
      </w:pPr>
      <w:bookmarkStart w:id="14" w:name="_Toc10316"/>
      <w:r>
        <w:rPr>
          <w:rFonts w:hint="eastAsia"/>
          <w:lang w:val="en-US" w:eastAsia="zh-CN"/>
        </w:rPr>
        <w:t>应急预案演练</w:t>
      </w:r>
      <w:bookmarkEnd w:id="14"/>
    </w:p>
    <w:p w14:paraId="535FED8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于2025年8月15日组织了一次区域停电应急演练，参与人员包括运维部、服务台及现场工程师。</w:t>
      </w:r>
    </w:p>
    <w:p w14:paraId="296F84E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演练结果：恢复时间符合预案要求，通讯协调顺畅，团队响应有序。</w:t>
      </w:r>
    </w:p>
    <w:p w14:paraId="6E1B89F8">
      <w:pPr>
        <w:pStyle w:val="30"/>
        <w:bidi w:val="0"/>
        <w:rPr>
          <w:rFonts w:hint="eastAsia"/>
          <w:lang w:val="en-US" w:eastAsia="zh-CN"/>
        </w:rPr>
      </w:pPr>
      <w:bookmarkStart w:id="15" w:name="_Toc3100"/>
      <w:r>
        <w:rPr>
          <w:rFonts w:hint="eastAsia"/>
          <w:lang w:val="en-US" w:eastAsia="zh-CN"/>
        </w:rPr>
        <w:t>连续性事件处理</w:t>
      </w:r>
      <w:bookmarkEnd w:id="15"/>
    </w:p>
    <w:p w14:paraId="3C6476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本季度未发生服务连续性事件。</w:t>
      </w:r>
    </w:p>
    <w:p w14:paraId="06CF66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</w:t>
      </w:r>
    </w:p>
    <w:p w14:paraId="0C55BFE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预防性维护措施到位，设备故障率显著下降。</w:t>
      </w:r>
    </w:p>
    <w:p w14:paraId="083EDF7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双路供电、双网络链路等冗余架构有效避免了单点故障。</w:t>
      </w:r>
    </w:p>
    <w:p w14:paraId="6C72E2A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监控预警及时，潜在风险在发展为连续性事件前已被消除。</w:t>
      </w:r>
    </w:p>
    <w:p w14:paraId="11F4E48C">
      <w:pPr>
        <w:pStyle w:val="28"/>
        <w:bidi w:val="0"/>
        <w:rPr>
          <w:rFonts w:hint="default"/>
          <w:lang w:val="en-US" w:eastAsia="zh-CN"/>
        </w:rPr>
      </w:pPr>
      <w:bookmarkStart w:id="16" w:name="_Toc2712"/>
      <w:r>
        <w:rPr>
          <w:rFonts w:hint="eastAsia"/>
          <w:lang w:val="en-US" w:eastAsia="zh-CN"/>
        </w:rPr>
        <w:t>关键资源保障情况</w:t>
      </w:r>
      <w:bookmarkEnd w:id="1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4361"/>
        <w:gridCol w:w="3002"/>
      </w:tblGrid>
      <w:tr w14:paraId="5D328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829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资源类型</w:t>
            </w:r>
          </w:p>
        </w:tc>
        <w:tc>
          <w:tcPr>
            <w:tcW w:w="43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EC6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状态说明</w:t>
            </w:r>
          </w:p>
        </w:tc>
        <w:tc>
          <w:tcPr>
            <w:tcW w:w="30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053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保障效果</w:t>
            </w:r>
          </w:p>
        </w:tc>
      </w:tr>
      <w:tr w14:paraId="51DC1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C19D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43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B9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团队稳定，开展专项培训2次；增设“预测性维护工程师”岗位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CED3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人员技能提升，故障预判能力增强</w:t>
            </w:r>
          </w:p>
        </w:tc>
      </w:tr>
      <w:tr w14:paraId="411E7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E2B3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</w:t>
            </w:r>
          </w:p>
        </w:tc>
        <w:tc>
          <w:tcPr>
            <w:tcW w:w="43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429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备件库库存充足，关键备件可用率达100%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CFD5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未发生因缺件导致的维修延迟</w:t>
            </w:r>
          </w:p>
        </w:tc>
      </w:tr>
      <w:tr w14:paraId="73894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A065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电力与网络</w:t>
            </w:r>
          </w:p>
        </w:tc>
        <w:tc>
          <w:tcPr>
            <w:tcW w:w="43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19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全部站点双路供电、双运营商链路运行正常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DB2B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本季度未发生电力或网络导致的业务中断</w:t>
            </w:r>
          </w:p>
        </w:tc>
      </w:tr>
      <w:tr w14:paraId="50F0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6823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系统架构</w:t>
            </w:r>
          </w:p>
        </w:tc>
        <w:tc>
          <w:tcPr>
            <w:tcW w:w="43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985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核心系统实现集群部署，具备自动负载均衡与故障迁移能力</w:t>
            </w:r>
          </w:p>
        </w:tc>
        <w:tc>
          <w:tcPr>
            <w:tcW w:w="30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F68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9"/>
              </w:rPr>
            </w:pPr>
          </w:p>
        </w:tc>
      </w:tr>
    </w:tbl>
    <w:p w14:paraId="42BD05CB">
      <w:pPr>
        <w:pStyle w:val="28"/>
        <w:bidi w:val="0"/>
        <w:rPr>
          <w:rFonts w:hint="default"/>
          <w:lang w:val="en-US" w:eastAsia="zh-CN"/>
        </w:rPr>
      </w:pPr>
      <w:bookmarkStart w:id="17" w:name="_Toc15"/>
      <w:r>
        <w:rPr>
          <w:rFonts w:hint="eastAsia"/>
          <w:lang w:val="en-US" w:eastAsia="zh-CN"/>
        </w:rPr>
        <w:t>可用性改进计划</w:t>
      </w:r>
      <w:bookmarkEnd w:id="1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812"/>
        <w:gridCol w:w="1295"/>
        <w:gridCol w:w="1100"/>
        <w:gridCol w:w="1987"/>
      </w:tblGrid>
      <w:tr w14:paraId="0E22D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63BC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改进方向</w:t>
            </w:r>
          </w:p>
        </w:tc>
        <w:tc>
          <w:tcPr>
            <w:tcW w:w="28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1C5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具体措施</w:t>
            </w:r>
          </w:p>
        </w:tc>
        <w:tc>
          <w:tcPr>
            <w:tcW w:w="12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CC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责任人</w:t>
            </w:r>
          </w:p>
        </w:tc>
        <w:tc>
          <w:tcPr>
            <w:tcW w:w="11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5E92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完成时间</w:t>
            </w:r>
          </w:p>
        </w:tc>
        <w:tc>
          <w:tcPr>
            <w:tcW w:w="19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CC1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预期效果</w:t>
            </w:r>
          </w:p>
        </w:tc>
      </w:tr>
      <w:tr w14:paraId="35E5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8B23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网络优化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021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部署SD-WAN，实现多链路智能切换与优化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D5AD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815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-1-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CFB2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消除网络抖动导致的瞬时不可用</w:t>
            </w:r>
          </w:p>
        </w:tc>
      </w:tr>
      <w:tr w14:paraId="0668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43F8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电力质量提升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396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为高敏感站点增配在线式UPS与稳压装置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42D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BFC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-1-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4A15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彻底消除电压波动影响</w:t>
            </w:r>
          </w:p>
        </w:tc>
      </w:tr>
      <w:tr w14:paraId="0AB68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84B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自动化恢复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2B3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开发并部署故障自愈脚本，覆盖常见软故障场景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B769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AE8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8786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将平均恢复时间缩短至5分钟内</w:t>
            </w:r>
          </w:p>
        </w:tc>
      </w:tr>
      <w:tr w14:paraId="1CAB5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453D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用户无感升级</w:t>
            </w:r>
          </w:p>
        </w:tc>
        <w:tc>
          <w:tcPr>
            <w:tcW w:w="28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3109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实施业务不中断的系统升级与配置变更流程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5D4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技术架构组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7C6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2113A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计划内维护不影响可用性计算</w:t>
            </w:r>
          </w:p>
        </w:tc>
      </w:tr>
    </w:tbl>
    <w:p w14:paraId="2FDB5C37">
      <w:pPr>
        <w:pStyle w:val="28"/>
        <w:bidi w:val="0"/>
        <w:rPr>
          <w:rFonts w:hint="default"/>
          <w:lang w:val="en-US" w:eastAsia="zh-CN"/>
        </w:rPr>
      </w:pPr>
      <w:bookmarkStart w:id="18" w:name="_Toc16598"/>
      <w:r>
        <w:rPr>
          <w:rFonts w:hint="default"/>
          <w:lang w:val="en-US" w:eastAsia="zh-CN"/>
        </w:rPr>
        <w:t>下阶段工作重点</w:t>
      </w:r>
      <w:bookmarkEnd w:id="18"/>
    </w:p>
    <w:p w14:paraId="6FD807B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持续推进“100%可用性攻坚计划”，重点优化网络与电力基础保障。</w:t>
      </w:r>
    </w:p>
    <w:p w14:paraId="1BD38F3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开展</w:t>
      </w:r>
      <w:r>
        <w:rPr>
          <w:rFonts w:hint="eastAsia"/>
          <w:lang w:val="en-US" w:eastAsia="zh-CN"/>
        </w:rPr>
        <w:t>2026年</w:t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季度“全自动故障恢复演练”，减少人工干预依赖。</w:t>
      </w:r>
    </w:p>
    <w:p w14:paraId="748741B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深化预测性维护模型，扩大AI故障预测覆盖范围。</w:t>
      </w:r>
    </w:p>
    <w:p w14:paraId="311E8BD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建立“零中断变更管理流程”，确保所有系统更新不影响业务连续性。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91910"/>
    <w:rsid w:val="03605849"/>
    <w:rsid w:val="036439BB"/>
    <w:rsid w:val="07047ECE"/>
    <w:rsid w:val="08AA44F4"/>
    <w:rsid w:val="08E12275"/>
    <w:rsid w:val="0E3A2285"/>
    <w:rsid w:val="0E7C3CF1"/>
    <w:rsid w:val="0FE443F8"/>
    <w:rsid w:val="1176055B"/>
    <w:rsid w:val="12064188"/>
    <w:rsid w:val="12C27C3B"/>
    <w:rsid w:val="12E44CE8"/>
    <w:rsid w:val="14977C8B"/>
    <w:rsid w:val="15A408A6"/>
    <w:rsid w:val="171C6B6E"/>
    <w:rsid w:val="1C47468D"/>
    <w:rsid w:val="1D64304A"/>
    <w:rsid w:val="1EF74148"/>
    <w:rsid w:val="1FB262C1"/>
    <w:rsid w:val="22611685"/>
    <w:rsid w:val="23193BAF"/>
    <w:rsid w:val="27974C34"/>
    <w:rsid w:val="29C830FC"/>
    <w:rsid w:val="2B1E0CAF"/>
    <w:rsid w:val="30F73B34"/>
    <w:rsid w:val="31EA4DD1"/>
    <w:rsid w:val="33523B64"/>
    <w:rsid w:val="368651E8"/>
    <w:rsid w:val="37476E97"/>
    <w:rsid w:val="38F848ED"/>
    <w:rsid w:val="3DC92CFC"/>
    <w:rsid w:val="3E693B97"/>
    <w:rsid w:val="3E854E75"/>
    <w:rsid w:val="4225102D"/>
    <w:rsid w:val="434C41B3"/>
    <w:rsid w:val="44AB315B"/>
    <w:rsid w:val="44FF0DB1"/>
    <w:rsid w:val="47094EB0"/>
    <w:rsid w:val="49EB5DA8"/>
    <w:rsid w:val="4A5B1180"/>
    <w:rsid w:val="4A6F0787"/>
    <w:rsid w:val="4AFC64BF"/>
    <w:rsid w:val="4C2725D5"/>
    <w:rsid w:val="4C475FD9"/>
    <w:rsid w:val="50016325"/>
    <w:rsid w:val="543D5452"/>
    <w:rsid w:val="563E20BC"/>
    <w:rsid w:val="583B7EFB"/>
    <w:rsid w:val="59E2253B"/>
    <w:rsid w:val="5C307917"/>
    <w:rsid w:val="5CE63B22"/>
    <w:rsid w:val="5FF437B1"/>
    <w:rsid w:val="60F670B5"/>
    <w:rsid w:val="67876CB8"/>
    <w:rsid w:val="68294213"/>
    <w:rsid w:val="68C36416"/>
    <w:rsid w:val="69070C28"/>
    <w:rsid w:val="6CEA7F60"/>
    <w:rsid w:val="6E005A16"/>
    <w:rsid w:val="73F97190"/>
    <w:rsid w:val="758049DE"/>
    <w:rsid w:val="75846F2D"/>
    <w:rsid w:val="77297D8C"/>
    <w:rsid w:val="7C2E1C4C"/>
    <w:rsid w:val="7C9E6B26"/>
    <w:rsid w:val="7CAC1243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1185</Words>
  <Characters>1287</Characters>
  <Lines>0</Lines>
  <Paragraphs>0</Paragraphs>
  <TotalTime>0</TotalTime>
  <ScaleCrop>false</ScaleCrop>
  <LinksUpToDate>false</LinksUpToDate>
  <CharactersWithSpaces>1349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2026-02-27T08:18:54Z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