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D11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6FC6E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9740"/>
      <w:r>
        <w:t>运维服务技术</w:t>
      </w:r>
      <w:r>
        <w:rPr>
          <w:rFonts w:hint="eastAsia"/>
          <w:lang w:val="en-US" w:eastAsia="zh-CN"/>
        </w:rPr>
        <w:t>成果应用</w:t>
      </w:r>
      <w:r>
        <w:t>管理制度</w:t>
      </w:r>
      <w:bookmarkEnd w:id="0"/>
    </w:p>
    <w:p w14:paraId="5893B1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423"/>
      <w:r>
        <w:t>中达丰集团有限公司</w:t>
      </w:r>
      <w:bookmarkEnd w:id="1"/>
    </w:p>
    <w:p w14:paraId="2765BC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CEFEF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5170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2025年4月4日</w:t>
      </w:r>
      <w:bookmarkEnd w:id="2"/>
    </w:p>
    <w:p w14:paraId="4E2AD0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7287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7FF0F0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E32A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258312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6713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运维服务技术研发管理制度（ZDFJT-IT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SS-JSYFGL）</w:t>
            </w:r>
          </w:p>
        </w:tc>
      </w:tr>
      <w:tr w14:paraId="64DDF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A877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40D64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 w14:paraId="20CA3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6065F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6AB108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47D546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6FE3E3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04D506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0446E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F0B33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011C5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9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2" w:type="dxa"/>
          </w:tcPr>
          <w:p w14:paraId="033CF2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61D4A9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2" w:lineRule="auto"/>
              <w:ind w:left="47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秦立祥</w:t>
            </w:r>
          </w:p>
        </w:tc>
        <w:tc>
          <w:tcPr>
            <w:tcW w:w="1953" w:type="dxa"/>
          </w:tcPr>
          <w:p w14:paraId="693A03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吴向阳</w:t>
            </w:r>
          </w:p>
        </w:tc>
      </w:tr>
      <w:tr w14:paraId="67F57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6EC02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D6FD7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61D7F2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17DD2E0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56AF7CC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9276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E9778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38CEC2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5F712A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9984D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9D89A6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3D57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7E4AA59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03F4B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51C2B2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12C5AE3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EB05B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2135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01FFD7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693401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779E450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1A3549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D4CB5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8A4651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11622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15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0623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26BF93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554BAA">
          <w:pPr>
            <w:pStyle w:val="16"/>
            <w:tabs>
              <w:tab w:val="right" w:leader="dot" w:pos="8498"/>
            </w:tabs>
          </w:pPr>
          <w:bookmarkStart w:id="15" w:name="_GoBack"/>
          <w:bookmarkEnd w:id="15"/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_Toc19740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运维服务技术</w:t>
          </w:r>
          <w:r>
            <w:rPr>
              <w:rFonts w:hint="eastAsia"/>
              <w:lang w:val="en-US" w:eastAsia="zh-CN"/>
            </w:rPr>
            <w:t>成果应用</w:t>
          </w:r>
          <w:r>
            <w:t>管理制度</w:t>
          </w:r>
          <w:r>
            <w:tab/>
          </w:r>
          <w:r>
            <w:fldChar w:fldCharType="begin"/>
          </w:r>
          <w:r>
            <w:instrText xml:space="preserve"> PAGEREF _Toc19740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8735E94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_Toc31423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_Toc31423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EB9E0B6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_Toc5170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2025年4月4日</w:t>
          </w:r>
          <w:r>
            <w:tab/>
          </w:r>
          <w:r>
            <w:fldChar w:fldCharType="begin"/>
          </w:r>
          <w:r>
            <w:instrText xml:space="preserve"> PAGEREF _Toc5170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D77AB7C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_Toc7287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_Toc7287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2BDC0D0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_Toc4797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736CD33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_Toc7133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A3A78DF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_Toc12567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_Toc12567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B91FA71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_Toc16974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_Toc16974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398B9EA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_Toc13289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技术成果应用流程</w:t>
          </w:r>
          <w:r>
            <w:tab/>
          </w:r>
          <w:r>
            <w:fldChar w:fldCharType="begin"/>
          </w:r>
          <w:r>
            <w:instrText xml:space="preserve"> PAGEREF _Toc13289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8EE26CD">
          <w:pPr>
            <w:pStyle w:val="17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_Toc26501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5.1. 成果接收与评估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372A349">
          <w:pPr>
            <w:pStyle w:val="17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_Toc2772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5.2. 试点应用与验证</w:t>
          </w:r>
          <w:r>
            <w:tab/>
          </w:r>
          <w:r>
            <w:fldChar w:fldCharType="begin"/>
          </w:r>
          <w:r>
            <w:instrText xml:space="preserve"> PAGEREF _Toc2772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D3E8ECF">
          <w:pPr>
            <w:pStyle w:val="17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_Toc8240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5.3. 推广应用与培训</w:t>
          </w:r>
          <w:r>
            <w:tab/>
          </w:r>
          <w:r>
            <w:fldChar w:fldCharType="begin"/>
          </w:r>
          <w:r>
            <w:instrText xml:space="preserve"> PAGEREF _Toc8240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BF931DF">
          <w:pPr>
            <w:pStyle w:val="17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_Toc30005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5.4. 持续优化与迭代</w:t>
          </w:r>
          <w:r>
            <w:tab/>
          </w:r>
          <w:r>
            <w:fldChar w:fldCharType="begin"/>
          </w:r>
          <w:r>
            <w:instrText xml:space="preserve"> PAGEREF _Toc30005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64D6713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_Toc15884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成果归档与知识管理</w:t>
          </w:r>
          <w:r>
            <w:tab/>
          </w:r>
          <w:r>
            <w:fldChar w:fldCharType="begin"/>
          </w:r>
          <w:r>
            <w:instrText xml:space="preserve"> PAGEREF _Toc15884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E90BA25">
          <w:pPr>
            <w:pStyle w:val="16"/>
            <w:tabs>
              <w:tab w:val="right" w:leader="dot" w:pos="849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_Toc13888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679342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34D8D6B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pgSz w:w="11906" w:h="16839"/>
          <w:pgMar w:top="1431" w:right="1700" w:bottom="0" w:left="1708" w:header="0" w:footer="0" w:gutter="0"/>
          <w:cols w:space="720" w:num="1"/>
        </w:sectPr>
      </w:pPr>
    </w:p>
    <w:p w14:paraId="126F030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4797"/>
      <w:r>
        <w:t>目的</w:t>
      </w:r>
      <w:bookmarkEnd w:id="4"/>
    </w:p>
    <w:p w14:paraId="21536075">
      <w:pPr>
        <w:pStyle w:val="27"/>
        <w:bidi w:val="0"/>
      </w:pPr>
      <w:r>
        <w:t>为规范公司运维服务技术成果的落地应用过程，确保研发成果能够有效转化为运维服务能力，提升服务效率、质量与客户满意度，特制定本制度。</w:t>
      </w:r>
    </w:p>
    <w:p w14:paraId="599EF41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7133"/>
      <w:r>
        <w:t>适用范围</w:t>
      </w:r>
      <w:bookmarkEnd w:id="5"/>
    </w:p>
    <w:p w14:paraId="1DE31F26">
      <w:pPr>
        <w:pStyle w:val="27"/>
        <w:bidi w:val="0"/>
      </w:pPr>
      <w:r>
        <w:t>本制度适用于中达丰集团有限公司（以下简称“公司”）所有运维服务相关的技术成果，包括但不限于：</w:t>
      </w:r>
    </w:p>
    <w:p w14:paraId="6292B70F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运维工具软件</w:t>
      </w:r>
    </w:p>
    <w:p w14:paraId="4B07F572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自动化脚本与平台</w:t>
      </w:r>
    </w:p>
    <w:p w14:paraId="0A223590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作业指导手册</w:t>
      </w:r>
    </w:p>
    <w:p w14:paraId="029BA3CD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故障处理手册</w:t>
      </w:r>
    </w:p>
    <w:p w14:paraId="4BF62B35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监控与诊断工具</w:t>
      </w:r>
    </w:p>
    <w:p w14:paraId="4E3BB8F5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新技术应用方案</w:t>
      </w:r>
    </w:p>
    <w:p w14:paraId="0E0954A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2567"/>
      <w:r>
        <w:t>引用文件</w:t>
      </w:r>
      <w:bookmarkEnd w:id="6"/>
    </w:p>
    <w:p w14:paraId="70418547">
      <w:pPr>
        <w:pStyle w:val="39"/>
        <w:numPr>
          <w:ilvl w:val="0"/>
          <w:numId w:val="3"/>
        </w:numPr>
        <w:bidi w:val="0"/>
      </w:pPr>
      <w:r>
        <w:rPr>
          <w:rFonts w:hint="eastAsia"/>
        </w:rPr>
        <w:t>T/CESA 1299—2023</w:t>
      </w:r>
      <w:r>
        <w:t xml:space="preserve"> 《信息技术服务 运行维护服务能力成熟度模型》</w:t>
      </w:r>
    </w:p>
    <w:p w14:paraId="5CC5B3B8">
      <w:pPr>
        <w:pStyle w:val="39"/>
        <w:numPr>
          <w:ilvl w:val="0"/>
          <w:numId w:val="3"/>
        </w:numPr>
        <w:bidi w:val="0"/>
      </w:pPr>
      <w:r>
        <w:t>GB/T 29264-2012 《信息技术服务 分类与代码》</w:t>
      </w:r>
    </w:p>
    <w:p w14:paraId="2FCAD606">
      <w:pPr>
        <w:pStyle w:val="39"/>
        <w:numPr>
          <w:ilvl w:val="0"/>
          <w:numId w:val="3"/>
        </w:numPr>
        <w:bidi w:val="0"/>
      </w:pPr>
      <w:r>
        <w:t>GB/T28827.1-20</w:t>
      </w:r>
      <w:r>
        <w:rPr>
          <w:rFonts w:hint="eastAsia"/>
          <w:lang w:val="en-US" w:eastAsia="zh-CN"/>
        </w:rPr>
        <w:t>2</w:t>
      </w:r>
      <w:r>
        <w:t>2《信息技术服务 运行维护 第 1 部分：通用要求》</w:t>
      </w:r>
    </w:p>
    <w:p w14:paraId="72442AF3">
      <w:pPr>
        <w:pStyle w:val="39"/>
        <w:numPr>
          <w:ilvl w:val="0"/>
          <w:numId w:val="3"/>
        </w:numPr>
        <w:bidi w:val="0"/>
      </w:pPr>
      <w:r>
        <w:t>国家有关法律、法规及行业标准</w:t>
      </w:r>
    </w:p>
    <w:p w14:paraId="0F4CAA68">
      <w:pPr>
        <w:pStyle w:val="26"/>
        <w:bidi w:val="0"/>
        <w:rPr>
          <w:rFonts w:hint="eastAsia"/>
          <w:lang w:val="en-US" w:eastAsia="zh-CN"/>
        </w:rPr>
      </w:pPr>
      <w:bookmarkStart w:id="7" w:name="_Toc16974"/>
      <w:r>
        <w:rPr>
          <w:rFonts w:hint="eastAsia"/>
          <w:lang w:val="en-US" w:eastAsia="zh-CN"/>
        </w:rPr>
        <w:t>术语与定义</w:t>
      </w:r>
      <w:bookmarkEnd w:id="7"/>
    </w:p>
    <w:tbl>
      <w:tblPr>
        <w:tblStyle w:val="20"/>
        <w:tblW w:w="85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7563"/>
      </w:tblGrid>
      <w:tr w14:paraId="0997B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D4AA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75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A1B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</w:tr>
      <w:tr w14:paraId="662D8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27B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技术成果</w:t>
            </w:r>
          </w:p>
        </w:tc>
        <w:tc>
          <w:tcPr>
            <w:tcW w:w="7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CF3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指在运维服务过程中研发或引入的、具备实际应用价值的技术产品、工具、文档或方法论。</w:t>
            </w:r>
          </w:p>
        </w:tc>
      </w:tr>
      <w:tr w14:paraId="0E4AE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3EA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成果应用</w:t>
            </w:r>
          </w:p>
        </w:tc>
        <w:tc>
          <w:tcPr>
            <w:tcW w:w="7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FA4A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将技术成果部署至实际运维场景中，用于提升服务效率、质量或解决实际问题的过程。</w:t>
            </w:r>
          </w:p>
        </w:tc>
      </w:tr>
      <w:tr w14:paraId="6A5E9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7929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试点应用</w:t>
            </w:r>
          </w:p>
        </w:tc>
        <w:tc>
          <w:tcPr>
            <w:tcW w:w="7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1E38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在局部或特定环境中对技术成果进行小范围验证和优化的阶段。</w:t>
            </w:r>
          </w:p>
        </w:tc>
      </w:tr>
      <w:tr w14:paraId="6B34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9BF6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推广应用</w:t>
            </w:r>
          </w:p>
        </w:tc>
        <w:tc>
          <w:tcPr>
            <w:tcW w:w="7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D2C4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在试点验证通过后，将技术成果全面部署至适用场景的过程。</w:t>
            </w:r>
          </w:p>
        </w:tc>
      </w:tr>
      <w:tr w14:paraId="4F8F2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728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成果归档</w:t>
            </w:r>
          </w:p>
        </w:tc>
        <w:tc>
          <w:tcPr>
            <w:tcW w:w="75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4B0B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将技术成果及其相关文档、代码、使用说明等系统化存储和管理的过程。</w:t>
            </w:r>
          </w:p>
        </w:tc>
      </w:tr>
    </w:tbl>
    <w:p w14:paraId="2912DCB8">
      <w:pPr>
        <w:pStyle w:val="26"/>
        <w:bidi w:val="0"/>
        <w:rPr>
          <w:rFonts w:hint="default"/>
          <w:lang w:val="en-US" w:eastAsia="zh-CN"/>
        </w:rPr>
      </w:pPr>
      <w:bookmarkStart w:id="8" w:name="_Toc13289"/>
      <w:r>
        <w:rPr>
          <w:rFonts w:hint="default"/>
          <w:lang w:val="en-US" w:eastAsia="zh-CN"/>
        </w:rPr>
        <w:t>技术成果应用流程</w:t>
      </w:r>
      <w:bookmarkEnd w:id="8"/>
    </w:p>
    <w:p w14:paraId="31AB294A">
      <w:pPr>
        <w:pStyle w:val="28"/>
        <w:bidi w:val="0"/>
        <w:rPr>
          <w:rFonts w:hint="default"/>
          <w:lang w:val="en-US" w:eastAsia="zh-CN"/>
        </w:rPr>
      </w:pPr>
      <w:bookmarkStart w:id="9" w:name="_Toc26501"/>
      <w:r>
        <w:rPr>
          <w:rFonts w:hint="default"/>
          <w:lang w:val="en-US" w:eastAsia="zh-CN"/>
        </w:rPr>
        <w:t>成果接收与评估</w:t>
      </w:r>
      <w:bookmarkEnd w:id="9"/>
    </w:p>
    <w:p w14:paraId="2E2F7F8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研发部完成技术成果开发后，提交《技术成果交付报告》。</w:t>
      </w:r>
    </w:p>
    <w:p w14:paraId="551A38BE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需求部门</w:t>
      </w:r>
      <w:r>
        <w:rPr>
          <w:rFonts w:hint="default"/>
          <w:lang w:val="en-US" w:eastAsia="zh-CN"/>
        </w:rPr>
        <w:t>对成果进行技术评审、适用性评估与风险分析。</w:t>
      </w:r>
    </w:p>
    <w:p w14:paraId="4FF606F5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评估通过后，制定《技术成果应用计划》，明确试点范围、时间、资源与责任人。</w:t>
      </w:r>
    </w:p>
    <w:p w14:paraId="380FBF01">
      <w:pPr>
        <w:pStyle w:val="28"/>
        <w:bidi w:val="0"/>
        <w:rPr>
          <w:rFonts w:hint="default"/>
          <w:lang w:val="en-US" w:eastAsia="zh-CN"/>
        </w:rPr>
      </w:pPr>
      <w:bookmarkStart w:id="10" w:name="_Toc2772"/>
      <w:r>
        <w:rPr>
          <w:rFonts w:hint="default"/>
          <w:lang w:val="en-US" w:eastAsia="zh-CN"/>
        </w:rPr>
        <w:t>试点应用与验证</w:t>
      </w:r>
      <w:bookmarkEnd w:id="10"/>
    </w:p>
    <w:p w14:paraId="591EA9B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在指定运维项目或环境中进行小范围试点应用。</w:t>
      </w:r>
    </w:p>
    <w:p w14:paraId="25D98487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运维部记录试点过程中的使用情况、问题与改进建议。</w:t>
      </w:r>
    </w:p>
    <w:p w14:paraId="2CA363E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试点期结束后，提交《试点应用评估报告》。</w:t>
      </w:r>
    </w:p>
    <w:p w14:paraId="121334F9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评估未通过的成果返回研发部优化；评估通过的进入推广应用阶段。</w:t>
      </w:r>
    </w:p>
    <w:p w14:paraId="46410095">
      <w:pPr>
        <w:pStyle w:val="28"/>
        <w:bidi w:val="0"/>
        <w:rPr>
          <w:rFonts w:hint="default"/>
          <w:lang w:val="en-US" w:eastAsia="zh-CN"/>
        </w:rPr>
      </w:pPr>
      <w:bookmarkStart w:id="11" w:name="_Toc8240"/>
      <w:r>
        <w:rPr>
          <w:rFonts w:hint="default"/>
          <w:lang w:val="en-US" w:eastAsia="zh-CN"/>
        </w:rPr>
        <w:t>推广应用与培训</w:t>
      </w:r>
      <w:bookmarkEnd w:id="11"/>
    </w:p>
    <w:p w14:paraId="588ED8CA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制定《技术成果推广方案》，包括推广范围、培训计划、支持机制。</w:t>
      </w:r>
    </w:p>
    <w:p w14:paraId="02329E58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组织相关人员进行系统培训，确保掌握使用方法和注意事项。</w:t>
      </w:r>
    </w:p>
    <w:p w14:paraId="21A67A8F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运维部逐步将技术成果部署至适用场景，并提供初期支持。</w:t>
      </w:r>
    </w:p>
    <w:p w14:paraId="48D6F5F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定期收集使用反馈，形成《推广应用反馈报告》。</w:t>
      </w:r>
    </w:p>
    <w:p w14:paraId="01349154">
      <w:pPr>
        <w:pStyle w:val="28"/>
        <w:bidi w:val="0"/>
        <w:rPr>
          <w:rFonts w:hint="default"/>
          <w:lang w:val="en-US" w:eastAsia="zh-CN"/>
        </w:rPr>
      </w:pPr>
      <w:bookmarkStart w:id="12" w:name="_Toc30005"/>
      <w:r>
        <w:rPr>
          <w:rFonts w:hint="default"/>
          <w:lang w:val="en-US" w:eastAsia="zh-CN"/>
        </w:rPr>
        <w:t>持续优化与迭代</w:t>
      </w:r>
      <w:bookmarkEnd w:id="12"/>
    </w:p>
    <w:p w14:paraId="3E9FEB3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研发部根据反馈持续优化技术成果，发布更新版本。</w:t>
      </w:r>
    </w:p>
    <w:p w14:paraId="12B9C429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建立技术成果版本管理机制，确保应用版本的一致性与可追溯性。</w:t>
      </w:r>
    </w:p>
    <w:p w14:paraId="256B8772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每季度对已推广应用的技术成果进行效果评估，形成《技术成果评估报告》</w:t>
      </w:r>
    </w:p>
    <w:p w14:paraId="1EF96C00">
      <w:pPr>
        <w:pStyle w:val="26"/>
        <w:bidi w:val="0"/>
        <w:rPr>
          <w:rFonts w:hint="default"/>
          <w:lang w:val="en-US" w:eastAsia="zh-CN"/>
        </w:rPr>
      </w:pPr>
      <w:bookmarkStart w:id="13" w:name="_Toc15884"/>
      <w:r>
        <w:rPr>
          <w:rFonts w:hint="default"/>
          <w:lang w:val="en-US" w:eastAsia="zh-CN"/>
        </w:rPr>
        <w:t>成果归档与知识管理</w:t>
      </w:r>
      <w:bookmarkEnd w:id="13"/>
    </w:p>
    <w:p w14:paraId="036A0042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所有技术成果均需归档至公司知识库，包括：</w:t>
      </w:r>
    </w:p>
    <w:p w14:paraId="0C5BD3E3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源代码/可执行文件</w:t>
      </w:r>
    </w:p>
    <w:p w14:paraId="7604E142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使用手册/操作指南</w:t>
      </w:r>
    </w:p>
    <w:p w14:paraId="033DC471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培训材料</w:t>
      </w:r>
    </w:p>
    <w:p w14:paraId="65700981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评估报告与反馈记录</w:t>
      </w:r>
    </w:p>
    <w:p w14:paraId="11342F25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知识管理员负责分类、标签化管理，便于检索与应用。</w:t>
      </w:r>
    </w:p>
    <w:p w14:paraId="09BE3F1E">
      <w:pPr>
        <w:pStyle w:val="27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定期更新知识库内容，确保信息的准确性与时效性。</w:t>
      </w:r>
    </w:p>
    <w:p w14:paraId="2BAA761A">
      <w:pPr>
        <w:pStyle w:val="26"/>
        <w:bidi w:val="0"/>
        <w:rPr>
          <w:rFonts w:hint="default"/>
          <w:lang w:val="en-US" w:eastAsia="zh-CN"/>
        </w:rPr>
      </w:pPr>
      <w:bookmarkStart w:id="14" w:name="_Toc13888"/>
      <w:r>
        <w:rPr>
          <w:rFonts w:hint="default"/>
          <w:lang w:val="en-US" w:eastAsia="zh-CN"/>
        </w:rPr>
        <w:t>附则</w:t>
      </w:r>
      <w:bookmarkEnd w:id="14"/>
    </w:p>
    <w:p w14:paraId="7A67493F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 w14:paraId="1C8E6F00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本制度的解释权归技术成果管理委员会所有。</w:t>
      </w:r>
    </w:p>
    <w:p w14:paraId="1DE49DC3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相关附件包括：</w:t>
      </w:r>
    </w:p>
    <w:p w14:paraId="5792E3E8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《技术成果交付报告》</w:t>
      </w:r>
    </w:p>
    <w:p w14:paraId="5A3BED33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《试点应用评估报告》</w:t>
      </w:r>
    </w:p>
    <w:p w14:paraId="7913F3D7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《技术成果推广方案》</w:t>
      </w:r>
    </w:p>
    <w:p w14:paraId="677B2784">
      <w:pPr>
        <w:pStyle w:val="27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《技术成果评估报告》</w:t>
      </w:r>
    </w:p>
    <w:sectPr>
      <w:footerReference r:id="rId5" w:type="default"/>
      <w:pgSz w:w="11906" w:h="16839"/>
      <w:pgMar w:top="1431" w:right="1785" w:bottom="1374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5019F">
    <w:pPr>
      <w:spacing w:line="166" w:lineRule="auto"/>
      <w:ind w:left="409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sz w:val="18"/>
        <w:szCs w:val="18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108EE13"/>
    <w:multiLevelType w:val="singleLevel"/>
    <w:tmpl w:val="9108EE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FEC97A"/>
    <w:multiLevelType w:val="singleLevel"/>
    <w:tmpl w:val="19FEC9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0669ED"/>
    <w:multiLevelType w:val="singleLevel"/>
    <w:tmpl w:val="220669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B410EA"/>
    <w:rsid w:val="1C113D4C"/>
    <w:rsid w:val="33D068BE"/>
    <w:rsid w:val="39B70E0A"/>
    <w:rsid w:val="42333673"/>
    <w:rsid w:val="4B4A6AE7"/>
    <w:rsid w:val="6ED40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1247</Words>
  <Characters>1336</Characters>
  <Lines>0</Lines>
  <Paragraphs>0</Paragraphs>
  <TotalTime>0</TotalTime>
  <ScaleCrop>false</ScaleCrop>
  <LinksUpToDate>false</LinksUpToDate>
  <CharactersWithSpaces>1402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2025-08-27T17:06:00Z</dcterms:created>
  <dc:creator>谢永刚</dc:creator>
  <cp:lastModifiedBy>郝宇</cp:lastModifiedBy>
  <dcterms:modified xsi:type="dcterms:W3CDTF">2026-02-10T06:59:42Z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2025-08-28T13:43:09Z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1C68A924A6A44A40AC8DEBE8052A9782_12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