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CCABDD">
      <w:pPr>
        <w:pStyle w:val="31"/>
        <w:bidi w:val="0"/>
        <w:rPr>
          <w:rFonts w:hint="eastAsia"/>
          <w:lang w:val="en-US" w:eastAsia="zh-CN"/>
        </w:rPr>
      </w:pPr>
    </w:p>
    <w:p w14:paraId="6E4E013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运维工具自评报告</w:t>
      </w:r>
    </w:p>
    <w:p w14:paraId="7B0CF3D5">
      <w:pPr>
        <w:pStyle w:val="32"/>
        <w:bidi w:val="0"/>
      </w:pPr>
      <w:r>
        <w:t>中达丰集团有限公司</w:t>
      </w:r>
    </w:p>
    <w:p w14:paraId="4C0E53A9">
      <w:pPr>
        <w:spacing w:before="117" w:line="219" w:lineRule="auto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1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cs="宋体"/>
          <w:spacing w:val="-1"/>
          <w:sz w:val="36"/>
          <w:szCs w:val="36"/>
          <w:lang w:val="en-US" w:eastAsia="zh-CN"/>
        </w:rPr>
        <w:t>12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</w:t>
      </w:r>
    </w:p>
    <w:p w14:paraId="6100A4B2">
      <w:pPr>
        <w:rPr>
          <w:rFonts w:ascii="宋体" w:hAnsi="宋体" w:eastAsia="宋体" w:cs="宋体"/>
          <w:spacing w:val="-2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br w:type="page"/>
      </w:r>
    </w:p>
    <w:p w14:paraId="3690492C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</w:p>
    <w:p w14:paraId="77AAB281">
      <w:pPr>
        <w:spacing w:line="16" w:lineRule="exact"/>
      </w:pPr>
    </w:p>
    <w:tbl>
      <w:tblPr>
        <w:tblStyle w:val="24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763"/>
        <w:gridCol w:w="2094"/>
        <w:gridCol w:w="1557"/>
        <w:gridCol w:w="1953"/>
      </w:tblGrid>
      <w:tr w14:paraId="38269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704" w:type="dxa"/>
          </w:tcPr>
          <w:p w14:paraId="7549E47F">
            <w:pPr>
              <w:pStyle w:val="25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18BA263F">
            <w:pPr>
              <w:pStyle w:val="25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运维工具评估报告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YWGJZP</w:t>
            </w:r>
            <w:r>
              <w:rPr>
                <w:spacing w:val="-1"/>
              </w:rPr>
              <w:t>）</w:t>
            </w:r>
          </w:p>
        </w:tc>
      </w:tr>
      <w:tr w14:paraId="2F056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04" w:type="dxa"/>
          </w:tcPr>
          <w:p w14:paraId="6590DE45">
            <w:pPr>
              <w:pStyle w:val="25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1C5DB158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B590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jc w:val="center"/>
        </w:trPr>
        <w:tc>
          <w:tcPr>
            <w:tcW w:w="1704" w:type="dxa"/>
          </w:tcPr>
          <w:p w14:paraId="1E174E40">
            <w:pPr>
              <w:pStyle w:val="25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763" w:type="dxa"/>
          </w:tcPr>
          <w:p w14:paraId="2FEA6832">
            <w:pPr>
              <w:pStyle w:val="25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094" w:type="dxa"/>
          </w:tcPr>
          <w:p w14:paraId="255F4B0E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4537F687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4DB3FCB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51680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0FE30DC8">
            <w:pPr>
              <w:pStyle w:val="25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763" w:type="dxa"/>
          </w:tcPr>
          <w:p w14:paraId="3F8412E6">
            <w:pPr>
              <w:pStyle w:val="25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094" w:type="dxa"/>
          </w:tcPr>
          <w:p w14:paraId="437DE6EF">
            <w:pPr>
              <w:pStyle w:val="25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62B6308E">
            <w:pPr>
              <w:pStyle w:val="25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5C25E091">
            <w:pPr>
              <w:pStyle w:val="25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1361F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766D1F54">
            <w:pPr>
              <w:pStyle w:val="25"/>
              <w:spacing w:before="164" w:line="239" w:lineRule="auto"/>
              <w:ind w:left="638"/>
            </w:pPr>
          </w:p>
        </w:tc>
        <w:tc>
          <w:tcPr>
            <w:tcW w:w="1763" w:type="dxa"/>
          </w:tcPr>
          <w:p w14:paraId="1D38CDD9">
            <w:pPr>
              <w:pStyle w:val="25"/>
              <w:spacing w:before="164"/>
              <w:ind w:left="361"/>
            </w:pPr>
          </w:p>
        </w:tc>
        <w:tc>
          <w:tcPr>
            <w:tcW w:w="2094" w:type="dxa"/>
          </w:tcPr>
          <w:p w14:paraId="4C4A178E">
            <w:pPr>
              <w:pStyle w:val="25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12C40EEA">
            <w:pPr>
              <w:pStyle w:val="25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86C022">
            <w:pPr>
              <w:pStyle w:val="25"/>
              <w:spacing w:before="134" w:line="220" w:lineRule="auto"/>
              <w:ind w:left="672"/>
            </w:pPr>
          </w:p>
        </w:tc>
      </w:tr>
      <w:tr w14:paraId="280F2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3A0E0B86">
            <w:pPr>
              <w:pStyle w:val="25"/>
              <w:spacing w:before="165" w:line="239" w:lineRule="auto"/>
              <w:ind w:left="638"/>
            </w:pPr>
          </w:p>
        </w:tc>
        <w:tc>
          <w:tcPr>
            <w:tcW w:w="1763" w:type="dxa"/>
          </w:tcPr>
          <w:p w14:paraId="6B727642">
            <w:pPr>
              <w:pStyle w:val="25"/>
              <w:spacing w:before="165"/>
              <w:ind w:left="361"/>
            </w:pPr>
          </w:p>
        </w:tc>
        <w:tc>
          <w:tcPr>
            <w:tcW w:w="2094" w:type="dxa"/>
          </w:tcPr>
          <w:p w14:paraId="7A8802E3">
            <w:pPr>
              <w:pStyle w:val="25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BC43F22">
            <w:pPr>
              <w:pStyle w:val="25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45674F1">
            <w:pPr>
              <w:pStyle w:val="25"/>
              <w:spacing w:before="135" w:line="220" w:lineRule="auto"/>
              <w:ind w:left="672"/>
            </w:pPr>
          </w:p>
        </w:tc>
      </w:tr>
      <w:tr w14:paraId="662EB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121330DF">
            <w:pPr>
              <w:pStyle w:val="25"/>
              <w:spacing w:before="166" w:line="239" w:lineRule="auto"/>
              <w:ind w:left="638"/>
            </w:pPr>
          </w:p>
        </w:tc>
        <w:tc>
          <w:tcPr>
            <w:tcW w:w="1763" w:type="dxa"/>
          </w:tcPr>
          <w:p w14:paraId="5D42D638">
            <w:pPr>
              <w:pStyle w:val="25"/>
              <w:spacing w:before="166"/>
              <w:ind w:left="361"/>
            </w:pPr>
          </w:p>
        </w:tc>
        <w:tc>
          <w:tcPr>
            <w:tcW w:w="2094" w:type="dxa"/>
          </w:tcPr>
          <w:p w14:paraId="4A04FD92">
            <w:pPr>
              <w:pStyle w:val="25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6A6D37AC">
            <w:pPr>
              <w:pStyle w:val="25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3068580">
            <w:pPr>
              <w:pStyle w:val="25"/>
              <w:spacing w:before="136" w:line="220" w:lineRule="auto"/>
              <w:ind w:left="672"/>
            </w:pPr>
          </w:p>
        </w:tc>
      </w:tr>
      <w:tr w14:paraId="76802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04" w:type="dxa"/>
          </w:tcPr>
          <w:p w14:paraId="76021993">
            <w:pPr>
              <w:rPr>
                <w:rFonts w:ascii="Arial"/>
                <w:sz w:val="21"/>
              </w:rPr>
            </w:pPr>
          </w:p>
        </w:tc>
        <w:tc>
          <w:tcPr>
            <w:tcW w:w="1763" w:type="dxa"/>
          </w:tcPr>
          <w:p w14:paraId="6A8246A3">
            <w:pPr>
              <w:rPr>
                <w:rFonts w:ascii="Arial"/>
                <w:sz w:val="21"/>
              </w:rPr>
            </w:pPr>
          </w:p>
        </w:tc>
        <w:tc>
          <w:tcPr>
            <w:tcW w:w="2094" w:type="dxa"/>
          </w:tcPr>
          <w:p w14:paraId="62B139ED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1EE84C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CE0C9CF">
            <w:pPr>
              <w:rPr>
                <w:rFonts w:ascii="Arial"/>
                <w:sz w:val="21"/>
              </w:rPr>
            </w:pPr>
          </w:p>
        </w:tc>
      </w:tr>
    </w:tbl>
    <w:p w14:paraId="5DB9B68A">
      <w:pPr>
        <w:spacing w:before="116" w:line="221" w:lineRule="auto"/>
        <w:ind w:left="5767" w:leftChars="0"/>
      </w:pPr>
      <w:sdt>
        <w:sdtPr>
          <w:rPr>
            <w:rFonts w:ascii="宋体" w:hAnsi="宋体" w:eastAsia="宋体" w:cs="宋体"/>
            <w:sz w:val="24"/>
            <w:szCs w:val="24"/>
          </w:rPr>
          <w:id w:val="147477268"/>
          <w:showingPlcHdr/>
          <w:docPartObj>
            <w:docPartGallery w:val="Table of Contents"/>
            <w:docPartUnique/>
          </w:docPartObj>
        </w:sdtPr>
        <w:sdtEndPr>
          <w:rPr>
            <w:rFonts w:ascii="宋体" w:hAnsi="宋体" w:eastAsia="宋体" w:cs="宋体"/>
            <w:sz w:val="24"/>
            <w:szCs w:val="24"/>
          </w:rPr>
        </w:sdtEndPr>
        <w:sdtContent>
          <w:bookmarkStart w:id="0" w:name="bookmark9"/>
          <w:bookmarkEnd w:id="0"/>
          <w:r>
            <w:rPr>
              <w:rFonts w:hint="eastAsia" w:ascii="宋体" w:hAnsi="宋体" w:eastAsia="宋体" w:cs="宋体"/>
              <w:sz w:val="24"/>
              <w:szCs w:val="24"/>
              <w:lang w:eastAsia="zh-CN"/>
            </w:rPr>
            <w:t xml:space="preserve">     </w:t>
          </w:r>
        </w:sdtContent>
      </w:sdt>
    </w:p>
    <w:p w14:paraId="33B046CB">
      <w:pPr>
        <w:rPr>
          <w:rFonts w:ascii="宋体" w:hAnsi="宋体" w:eastAsia="宋体" w:cs="宋体"/>
          <w:b/>
          <w:bCs/>
          <w:spacing w:val="1"/>
          <w:sz w:val="31"/>
          <w:szCs w:val="31"/>
        </w:rPr>
        <w:sectPr>
          <w:headerReference r:id="rId5" w:type="default"/>
          <w:footerReference r:id="rId6" w:type="default"/>
          <w:pgSz w:w="11906" w:h="16839"/>
          <w:pgMar w:top="1437" w:right="1283" w:bottom="1152" w:left="1417" w:header="927" w:footer="987" w:gutter="0"/>
          <w:cols w:space="720" w:num="1"/>
        </w:sectPr>
      </w:pPr>
      <w:r>
        <w:rPr>
          <w:rFonts w:ascii="宋体" w:hAnsi="宋体" w:eastAsia="宋体" w:cs="宋体"/>
          <w:b/>
          <w:bCs/>
          <w:spacing w:val="1"/>
          <w:sz w:val="31"/>
          <w:szCs w:val="31"/>
        </w:rPr>
        <w:br w:type="page"/>
      </w:r>
    </w:p>
    <w:tbl>
      <w:tblPr>
        <w:tblStyle w:val="24"/>
        <w:tblW w:w="1446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06"/>
        <w:gridCol w:w="793"/>
        <w:gridCol w:w="4584"/>
        <w:gridCol w:w="1201"/>
        <w:gridCol w:w="1162"/>
        <w:gridCol w:w="3842"/>
        <w:gridCol w:w="1278"/>
      </w:tblGrid>
      <w:tr w14:paraId="7D9127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1606" w:type="dxa"/>
            <w:shd w:val="clear" w:color="auto" w:fill="E5E5E5"/>
            <w:vAlign w:val="center"/>
          </w:tcPr>
          <w:p w14:paraId="1DFFD4B9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0" w:type="auto"/>
            <w:shd w:val="clear" w:color="auto" w:fill="E5E5E5"/>
            <w:vAlign w:val="center"/>
          </w:tcPr>
          <w:p w14:paraId="0E0683D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4584" w:type="dxa"/>
            <w:shd w:val="clear" w:color="auto" w:fill="E5E5E5"/>
            <w:vAlign w:val="center"/>
          </w:tcPr>
          <w:p w14:paraId="102115C6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0" w:type="auto"/>
            <w:shd w:val="clear" w:color="auto" w:fill="E5E5E5"/>
            <w:vAlign w:val="center"/>
          </w:tcPr>
          <w:p w14:paraId="428A37EC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62E286A5">
            <w:pPr>
              <w:snapToGrid w:val="0"/>
              <w:spacing w:before="214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162" w:type="dxa"/>
            <w:shd w:val="clear" w:color="auto" w:fill="E5E5E5"/>
            <w:vAlign w:val="center"/>
          </w:tcPr>
          <w:p w14:paraId="13D61C35">
            <w:pPr>
              <w:snapToGrid w:val="0"/>
              <w:spacing w:before="5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842" w:type="dxa"/>
            <w:shd w:val="clear" w:color="auto" w:fill="E5E5E5"/>
            <w:vAlign w:val="center"/>
          </w:tcPr>
          <w:p w14:paraId="15EE4CFD">
            <w:pPr>
              <w:snapToGrid w:val="0"/>
              <w:spacing w:before="6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278" w:type="dxa"/>
            <w:shd w:val="clear" w:color="auto" w:fill="E5E5E5"/>
            <w:vAlign w:val="center"/>
          </w:tcPr>
          <w:p w14:paraId="4690FE33">
            <w:pPr>
              <w:snapToGrid w:val="0"/>
              <w:spacing w:before="215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756FF0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06" w:type="dxa"/>
            <w:vAlign w:val="center"/>
          </w:tcPr>
          <w:p w14:paraId="5CBC2470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  <w:p w14:paraId="48057EB9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cs="宋体"/>
                <w:b/>
                <w:bCs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9"/>
                <w:sz w:val="24"/>
                <w:szCs w:val="24"/>
                <w:lang w:val="en-US" w:eastAsia="zh-CN"/>
              </w:rPr>
              <w:t>+</w:t>
            </w:r>
          </w:p>
          <w:p w14:paraId="4CEB5B6F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cs="宋体"/>
                <w:b/>
                <w:bCs/>
                <w:spacing w:val="-9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9"/>
                <w:sz w:val="24"/>
                <w:szCs w:val="24"/>
                <w:lang w:val="en-US" w:eastAsia="zh-CN"/>
              </w:rPr>
              <w:t>监控工具</w:t>
            </w:r>
          </w:p>
        </w:tc>
        <w:tc>
          <w:tcPr>
            <w:tcW w:w="0" w:type="auto"/>
            <w:vAlign w:val="center"/>
          </w:tcPr>
          <w:p w14:paraId="0E22505F">
            <w:pPr>
              <w:snapToGrid w:val="0"/>
              <w:spacing w:before="39" w:line="240" w:lineRule="auto"/>
              <w:ind w:right="103"/>
              <w:jc w:val="left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 w:cs="宋体"/>
                <w:spacing w:val="-4"/>
                <w:sz w:val="24"/>
                <w:szCs w:val="24"/>
                <w:lang w:val="en-US" w:eastAsia="zh-CN"/>
              </w:rPr>
              <w:t>江苏智慧双湖管理系统</w:t>
            </w:r>
          </w:p>
        </w:tc>
        <w:tc>
          <w:tcPr>
            <w:tcW w:w="4584" w:type="dxa"/>
            <w:vAlign w:val="center"/>
          </w:tcPr>
          <w:p w14:paraId="608B46AE">
            <w:pPr>
              <w:snapToGrid w:val="0"/>
              <w:spacing w:before="39" w:line="240" w:lineRule="auto"/>
              <w:ind w:left="0" w:leftChars="0" w:right="0" w:rightChars="0" w:firstLine="0" w:firstLineChars="0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以工单流转为核心，实现了从故障上报到处理归档的全流程闭环。用户上报故障后系统自动创建工单，工单依次经过待处理、进行中、已完成、历史工单四个状态，在各角色间有序流转。管理人员可实时跟踪每张工单的处理进度，确保运维任务责任到人、过程可控</w:t>
            </w:r>
          </w:p>
          <w:p w14:paraId="6630355D">
            <w:pPr>
              <w:snapToGrid w:val="0"/>
              <w:spacing w:before="39" w:line="240" w:lineRule="auto"/>
              <w:ind w:left="0" w:leftChars="0" w:right="0" w:rightChars="0" w:firstLine="0" w:firstLineChars="0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eastAsia" w:ascii="宋体" w:hAnsi="宋体" w:cs="宋体"/>
                <w:sz w:val="24"/>
                <w:szCs w:val="24"/>
                <w:lang w:val="en-US" w:eastAsia="zh-CN"/>
              </w:rPr>
              <w:t>同时支持在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24"/>
                <w:shd w:val="clear" w:fill="FFFFFF"/>
              </w:rPr>
              <w:t>电脑端的停车场监控系统，通过连接和管理部署在停车场各处的摄像头，将视频画面实时传输到电脑上，实现远程监控和录像</w:t>
            </w:r>
            <w:bookmarkStart w:id="1" w:name="_GoBack"/>
            <w:bookmarkEnd w:id="1"/>
          </w:p>
        </w:tc>
        <w:tc>
          <w:tcPr>
            <w:tcW w:w="0" w:type="auto"/>
            <w:vAlign w:val="center"/>
          </w:tcPr>
          <w:p w14:paraId="356DE981">
            <w:pPr>
              <w:snapToGrid w:val="0"/>
              <w:spacing w:before="10" w:line="240" w:lineRule="auto"/>
              <w:ind w:left="0" w:leftChars="0" w:right="0" w:rightChars="0" w:firstLine="0" w:firstLineChars="0"/>
              <w:jc w:val="left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position w:val="-4"/>
                <w:sz w:val="24"/>
                <w:szCs w:val="24"/>
              </w:rPr>
              <w:t>盐都区新能源汽车充电站建设项目</w:t>
            </w:r>
          </w:p>
        </w:tc>
        <w:tc>
          <w:tcPr>
            <w:tcW w:w="1162" w:type="dxa"/>
            <w:vAlign w:val="center"/>
          </w:tcPr>
          <w:p w14:paraId="42415203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开源工具</w:t>
            </w:r>
          </w:p>
        </w:tc>
        <w:tc>
          <w:tcPr>
            <w:tcW w:w="3842" w:type="dxa"/>
            <w:vAlign w:val="center"/>
          </w:tcPr>
          <w:p w14:paraId="3ED9BF45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</w:p>
        </w:tc>
        <w:tc>
          <w:tcPr>
            <w:tcW w:w="1278" w:type="dxa"/>
            <w:vAlign w:val="center"/>
          </w:tcPr>
          <w:p w14:paraId="545A812A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  <w:tr w14:paraId="7086DD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606" w:type="dxa"/>
            <w:vAlign w:val="center"/>
          </w:tcPr>
          <w:p w14:paraId="77A90CE4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793" w:type="dxa"/>
            <w:vAlign w:val="center"/>
          </w:tcPr>
          <w:p w14:paraId="52C9789C">
            <w:pPr>
              <w:snapToGrid w:val="0"/>
              <w:spacing w:before="78" w:line="240" w:lineRule="auto"/>
              <w:ind w:left="0" w:leftChars="0" w:right="0" w:rightChars="0" w:firstLine="0" w:firstLineChars="0"/>
              <w:jc w:val="left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深信服防火墙</w:t>
            </w:r>
          </w:p>
        </w:tc>
        <w:tc>
          <w:tcPr>
            <w:tcW w:w="4584" w:type="dxa"/>
            <w:vAlign w:val="center"/>
          </w:tcPr>
          <w:p w14:paraId="3F79CAEB">
            <w:pPr>
              <w:snapToGrid w:val="0"/>
              <w:spacing w:before="78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</w:rPr>
              <w:t>深信服</w:t>
            </w:r>
            <w:r>
              <w:rPr>
                <w:rFonts w:hint="eastAsia" w:ascii="宋体" w:hAnsi="Segoe UI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  <w:lang w:val="en-US" w:eastAsia="zh-CN"/>
              </w:rPr>
              <w:t>防火墙</w:t>
            </w:r>
            <w:r>
              <w:rPr>
                <w:rFonts w:ascii="宋体" w:hAnsi="Segoe UI" w:eastAsia="宋体" w:cs="Segoe UI"/>
                <w:i w:val="0"/>
                <w:iCs w:val="0"/>
                <w:caps w:val="0"/>
                <w:color w:val="0F1115"/>
                <w:spacing w:val="0"/>
                <w:sz w:val="24"/>
                <w:szCs w:val="19"/>
                <w:shd w:val="clear" w:fill="FFFFFF"/>
              </w:rPr>
              <w:t>是一个集态势感知、威胁分析与实时响应于一体的网络安全运营平台。它实时监控全网攻击态势，通过攻击地图可视化和TOP排名展示业务威胁，同时监测内网用户终端风险。平台支持一键封锁攻击IP、推送终端杀毒通知，并与EDR联动处置，实现从威胁发现、分析到阻断的闭环管理。所有事件可筛选、搜索并生成安全报表，为运维人员提供全面的网络安全监控与快速响应能力</w:t>
            </w:r>
          </w:p>
        </w:tc>
        <w:tc>
          <w:tcPr>
            <w:tcW w:w="1201" w:type="dxa"/>
            <w:vAlign w:val="center"/>
          </w:tcPr>
          <w:p w14:paraId="43B2FCB0">
            <w:pPr>
              <w:snapToGrid w:val="0"/>
              <w:spacing w:before="12" w:line="240" w:lineRule="auto"/>
              <w:ind w:left="0" w:leftChars="0" w:right="0" w:rightChars="0" w:firstLine="0" w:firstLineChars="0"/>
              <w:jc w:val="left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position w:val="-4"/>
                <w:sz w:val="24"/>
                <w:szCs w:val="24"/>
              </w:rPr>
              <w:t>盐都区新能源汽车充电站建设项目</w:t>
            </w:r>
          </w:p>
        </w:tc>
        <w:tc>
          <w:tcPr>
            <w:tcW w:w="1162" w:type="dxa"/>
            <w:vAlign w:val="center"/>
          </w:tcPr>
          <w:p w14:paraId="36ADD94F">
            <w:pPr>
              <w:snapToGrid w:val="0"/>
              <w:spacing w:before="78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外购工具</w:t>
            </w:r>
          </w:p>
        </w:tc>
        <w:tc>
          <w:tcPr>
            <w:tcW w:w="3842" w:type="dxa"/>
            <w:vAlign w:val="center"/>
          </w:tcPr>
          <w:p w14:paraId="1626175F">
            <w:pPr>
              <w:snapToGrid w:val="0"/>
              <w:spacing w:before="40" w:line="24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ascii="宋体" w:hAnsi="宋体" w:eastAsia="宋体" w:cs="宋体"/>
                <w:spacing w:val="30"/>
                <w:sz w:val="24"/>
                <w:szCs w:val="24"/>
              </w:rPr>
              <w:t>缩短了系统故障发生的时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处置</w:t>
            </w:r>
          </w:p>
        </w:tc>
        <w:tc>
          <w:tcPr>
            <w:tcW w:w="1278" w:type="dxa"/>
            <w:vAlign w:val="center"/>
          </w:tcPr>
          <w:p w14:paraId="1BCECE47">
            <w:pPr>
              <w:snapToGrid w:val="0"/>
              <w:spacing w:before="26" w:line="24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eastAsia="宋体"/>
                <w:sz w:val="24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</w:tbl>
    <w:p w14:paraId="658907D7">
      <w:pPr>
        <w:pStyle w:val="12"/>
      </w:pPr>
    </w:p>
    <w:sectPr>
      <w:pgSz w:w="16839" w:h="11906" w:orient="landscape"/>
      <w:pgMar w:top="1417" w:right="1437" w:bottom="1283" w:left="1152" w:header="927" w:footer="98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CF4BF0">
    <w:pPr>
      <w:spacing w:line="169" w:lineRule="auto"/>
      <w:ind w:left="5913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EB1CD1">
    <w:pPr>
      <w:spacing w:before="47" w:line="232" w:lineRule="auto"/>
      <w:ind w:left="7874" w:right="516" w:hanging="817"/>
      <w:rPr>
        <w:rFonts w:ascii="仿宋" w:hAnsi="仿宋" w:eastAsia="仿宋" w:cs="仿宋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283824"/>
    <w:rsid w:val="0D1150F2"/>
    <w:rsid w:val="11E50D0F"/>
    <w:rsid w:val="125606F6"/>
    <w:rsid w:val="13E833B7"/>
    <w:rsid w:val="186B3909"/>
    <w:rsid w:val="18DE232D"/>
    <w:rsid w:val="2B1D4D07"/>
    <w:rsid w:val="2C892158"/>
    <w:rsid w:val="3B9253A7"/>
    <w:rsid w:val="3E7C6E1B"/>
    <w:rsid w:val="4125649B"/>
    <w:rsid w:val="4B103D18"/>
    <w:rsid w:val="598853C1"/>
    <w:rsid w:val="5F782D20"/>
    <w:rsid w:val="63F518A5"/>
    <w:rsid w:val="64C40583"/>
    <w:rsid w:val="6A444E70"/>
    <w:rsid w:val="6AA41109"/>
    <w:rsid w:val="6DA2484C"/>
    <w:rsid w:val="6DA86F41"/>
    <w:rsid w:val="6E240E31"/>
    <w:rsid w:val="789D27E0"/>
    <w:rsid w:val="7B0564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649</Words>
  <Characters>709</Characters>
  <Lines>0</Lines>
  <Paragraphs>0</Paragraphs>
  <TotalTime>0</TotalTime>
  <ScaleCrop>false</ScaleCrop>
  <LinksUpToDate>false</LinksUpToDate>
  <CharactersWithSpaces>714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2025-08-12T10:22:00Z</dcterms:created>
  <dc:creator>3</dc:creator>
  <cp:lastModifiedBy>郝宇</cp:lastModifiedBy>
  <dcterms:modified xsi:type="dcterms:W3CDTF">2026-03-06T19:12:55Z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2025-08-15T15:20:27Z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C8D3919C4E0A49589CED9BCAF0AF533E_13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