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7B16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8FAD1A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C38B3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0" w:name="_Toc8644"/>
      <w:r>
        <w:rPr>
          <w:rFonts w:hint="eastAsia"/>
        </w:rPr>
        <w:t>盐都区新能源汽车充电站建设项目</w:t>
      </w:r>
      <w:bookmarkEnd w:id="0"/>
    </w:p>
    <w:p w14:paraId="5F650CF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1" w:name="_Toc7434"/>
      <w:r>
        <w:rPr>
          <w:rFonts w:hint="eastAsia"/>
          <w:lang w:val="en-US" w:eastAsia="zh-CN"/>
        </w:rPr>
        <w:t>改进方案</w:t>
      </w:r>
      <w:bookmarkEnd w:id="1"/>
    </w:p>
    <w:p w14:paraId="106E1C6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18311"/>
      <w:r>
        <w:t>中达丰集团有限公司</w:t>
      </w:r>
      <w:bookmarkEnd w:id="2"/>
    </w:p>
    <w:p w14:paraId="3A874F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30"/>
          <w:szCs w:val="30"/>
        </w:rPr>
      </w:pPr>
    </w:p>
    <w:p w14:paraId="5E8B34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0"/>
          <w:szCs w:val="30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2025年</w:t>
      </w:r>
      <w:r>
        <w:rPr>
          <w:rFonts w:hint="eastAsia" w:ascii="宋体" w:hAnsi="宋体" w:cs="宋体"/>
          <w:sz w:val="30"/>
          <w:szCs w:val="30"/>
          <w:lang w:val="en-US" w:eastAsia="zh-CN"/>
        </w:rPr>
        <w:t>12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月</w:t>
      </w:r>
      <w:r>
        <w:rPr>
          <w:rFonts w:hint="eastAsia" w:ascii="宋体" w:hAnsi="宋体" w:cs="宋体"/>
          <w:sz w:val="30"/>
          <w:szCs w:val="30"/>
          <w:lang w:val="en-US" w:eastAsia="zh-CN"/>
        </w:rPr>
        <w:t>3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0日</w:t>
      </w:r>
    </w:p>
    <w:p w14:paraId="69D29A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1710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16250C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F8F0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79CEC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5C6F7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</w:pPr>
            <w:r>
              <w:rPr>
                <w:rFonts w:hint="eastAsia"/>
                <w:lang w:val="en-US" w:eastAsia="zh-CN"/>
              </w:rPr>
              <w:t>改进方案</w:t>
            </w:r>
            <w:r>
              <w:t>（ZDFJT-ITS</w:t>
            </w:r>
            <w:r>
              <w:rPr>
                <w:spacing w:val="-1"/>
              </w:rPr>
              <w:t>S-</w:t>
            </w:r>
            <w:r>
              <w:rPr>
                <w:rFonts w:hint="eastAsia"/>
                <w:spacing w:val="-1"/>
                <w:lang w:val="en-US" w:eastAsia="zh-CN"/>
              </w:rPr>
              <w:t>GJFA</w:t>
            </w:r>
            <w:bookmarkStart w:id="14" w:name="_GoBack"/>
            <w:bookmarkEnd w:id="14"/>
            <w:r>
              <w:rPr>
                <w:spacing w:val="-1"/>
              </w:rPr>
              <w:t>）</w:t>
            </w:r>
          </w:p>
        </w:tc>
      </w:tr>
      <w:tr w14:paraId="31B39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5DB6A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A7784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1D5BA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DFC47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13" w:type="dxa"/>
          </w:tcPr>
          <w:p w14:paraId="32EF0D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2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67418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76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73382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3413A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11D74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0621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72DF50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171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</w:t>
            </w:r>
            <w:r>
              <w:rPr>
                <w:spacing w:val="-2"/>
              </w:rPr>
              <w:t>0</w:t>
            </w:r>
          </w:p>
        </w:tc>
        <w:tc>
          <w:tcPr>
            <w:tcW w:w="2302" w:type="dxa"/>
          </w:tcPr>
          <w:p w14:paraId="440580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79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592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5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08C90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0" w:lineRule="auto"/>
              <w:ind w:left="635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吴向阳</w:t>
            </w:r>
          </w:p>
        </w:tc>
      </w:tr>
      <w:tr w14:paraId="550FE8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54121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BEF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647C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FBEA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E676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E42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25EF84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09DD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34B5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2D3F2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EE46C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796DD3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06471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29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0670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8CBE51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77F3FC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_Toc8644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</w:rPr>
            <w:t>盐都区新能源汽车充电站建设项目</w:t>
          </w:r>
          <w:r>
            <w:tab/>
          </w:r>
          <w:r>
            <w:fldChar w:fldCharType="begin"/>
          </w:r>
          <w:r>
            <w:instrText xml:space="preserve"> PAGEREF _Toc8644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0CBF23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_Toc7434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改进方案</w:t>
          </w:r>
          <w:r>
            <w:tab/>
          </w:r>
          <w:r>
            <w:fldChar w:fldCharType="begin"/>
          </w:r>
          <w:r>
            <w:instrText xml:space="preserve"> PAGEREF _Toc7434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2B7C5B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_Toc18311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_Toc18311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DC4DF2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_Toc17105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_Toc17105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A037C6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_Toc12707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总体目标</w:t>
          </w:r>
          <w:r>
            <w:tab/>
          </w:r>
          <w:r>
            <w:fldChar w:fldCharType="begin"/>
          </w:r>
          <w:r>
            <w:instrText xml:space="preserve"> PAGEREF _Toc12707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17F19A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_Toc4169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改进方向与措施</w:t>
          </w:r>
          <w:r>
            <w:tab/>
          </w:r>
          <w:r>
            <w:fldChar w:fldCharType="begin"/>
          </w:r>
          <w:r>
            <w:instrText xml:space="preserve"> PAGEREF _Toc4169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C1CFB5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_Toc19318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巡检标准化与规范化</w:t>
          </w:r>
          <w:r>
            <w:tab/>
          </w:r>
          <w:r>
            <w:fldChar w:fldCharType="begin"/>
          </w:r>
          <w:r>
            <w:instrText xml:space="preserve"> PAGEREF _Toc19318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52857D1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_Toc19268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设备预防性维护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196F285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_Toc21448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网络与系统监控优化</w:t>
          </w:r>
          <w:r>
            <w:tab/>
          </w:r>
          <w:r>
            <w:fldChar w:fldCharType="begin"/>
          </w:r>
          <w:r>
            <w:instrText xml:space="preserve"> PAGEREF _Toc21448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09631F5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_Toc3747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问题跟踪与闭环管理</w:t>
          </w:r>
          <w:r>
            <w:tab/>
          </w:r>
          <w:r>
            <w:fldChar w:fldCharType="begin"/>
          </w:r>
          <w:r>
            <w:instrText xml:space="preserve"> PAGEREF _Toc3747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30ACE8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_Toc23626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巡检质量与效果评估</w:t>
          </w:r>
          <w:r>
            <w:tab/>
          </w:r>
          <w:r>
            <w:fldChar w:fldCharType="begin"/>
          </w:r>
          <w:r>
            <w:instrText xml:space="preserve"> PAGEREF _Toc23626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DA11D9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_Toc18014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实施计划</w:t>
          </w:r>
          <w:r>
            <w:tab/>
          </w:r>
          <w:r>
            <w:fldChar w:fldCharType="begin"/>
          </w:r>
          <w:r>
            <w:instrText xml:space="preserve"> PAGEREF _Toc18014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76646A0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_Toc26102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责任分工</w:t>
          </w:r>
          <w:r>
            <w:tab/>
          </w:r>
          <w:r>
            <w:fldChar w:fldCharType="begin"/>
          </w:r>
          <w:r>
            <w:instrText xml:space="preserve"> PAGEREF _Toc26102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C020A8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_Toc10464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预期成效</w:t>
          </w:r>
          <w:r>
            <w:tab/>
          </w:r>
          <w:r>
            <w:fldChar w:fldCharType="begin"/>
          </w:r>
          <w:r>
            <w:instrText xml:space="preserve"> PAGEREF _Toc10464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4E679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4890A7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13194C03">
      <w:pPr>
        <w:pStyle w:val="26"/>
        <w:bidi w:val="0"/>
        <w:rPr>
          <w:rFonts w:hint="default"/>
          <w:lang w:val="en-US" w:eastAsia="zh-CN"/>
        </w:rPr>
      </w:pPr>
      <w:bookmarkStart w:id="4" w:name="_Toc12707"/>
      <w:r>
        <w:rPr>
          <w:rFonts w:hint="default"/>
          <w:lang w:val="en-US" w:eastAsia="zh-CN"/>
        </w:rPr>
        <w:t>总体目标</w:t>
      </w:r>
      <w:bookmarkEnd w:id="4"/>
    </w:p>
    <w:p w14:paraId="648D877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提升巡检工作的系统性、预防性与响应效率，降低设备故障率，保障充电站长期稳定运行，优化用户体验。</w:t>
      </w:r>
    </w:p>
    <w:p w14:paraId="097822A9">
      <w:pPr>
        <w:pStyle w:val="26"/>
        <w:bidi w:val="0"/>
        <w:rPr>
          <w:rFonts w:hint="default"/>
          <w:lang w:val="en-US" w:eastAsia="zh-CN"/>
        </w:rPr>
      </w:pPr>
      <w:bookmarkStart w:id="5" w:name="_Toc4169"/>
      <w:r>
        <w:rPr>
          <w:rFonts w:hint="default"/>
          <w:lang w:val="en-US" w:eastAsia="zh-CN"/>
        </w:rPr>
        <w:t>改进方向与措施</w:t>
      </w:r>
      <w:bookmarkEnd w:id="5"/>
    </w:p>
    <w:p w14:paraId="3E259488">
      <w:pPr>
        <w:pStyle w:val="28"/>
        <w:bidi w:val="0"/>
        <w:rPr>
          <w:rFonts w:hint="default"/>
          <w:lang w:val="en-US" w:eastAsia="zh-CN"/>
        </w:rPr>
      </w:pPr>
      <w:bookmarkStart w:id="6" w:name="_Toc19318"/>
      <w:r>
        <w:rPr>
          <w:rFonts w:hint="default"/>
          <w:lang w:val="en-US" w:eastAsia="zh-CN"/>
        </w:rPr>
        <w:t>巡检标准化与规范化</w:t>
      </w:r>
      <w:bookmarkEnd w:id="6"/>
    </w:p>
    <w:p w14:paraId="7BF13A6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制定详细巡检手册：明确每项检查内容的标准、方法、工具与判定依据。</w:t>
      </w:r>
    </w:p>
    <w:p w14:paraId="3957F7E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统一记录模板：推广电子化巡检系统，实现数据实时上传、自动汇总与分析。</w:t>
      </w:r>
    </w:p>
    <w:p w14:paraId="2022586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加强巡检人员培训：每季度组织一次专项培训，提升对设备状态、安全隐患的识别能力。</w:t>
      </w:r>
    </w:p>
    <w:p w14:paraId="1E068D8B">
      <w:pPr>
        <w:pStyle w:val="28"/>
        <w:bidi w:val="0"/>
        <w:rPr>
          <w:rFonts w:hint="default"/>
          <w:lang w:val="en-US" w:eastAsia="zh-CN"/>
        </w:rPr>
      </w:pPr>
      <w:bookmarkStart w:id="7" w:name="_Toc19268"/>
      <w:r>
        <w:rPr>
          <w:rFonts w:hint="default"/>
          <w:lang w:val="en-US" w:eastAsia="zh-CN"/>
        </w:rPr>
        <w:t>设备预防性维护</w:t>
      </w:r>
      <w:bookmarkEnd w:id="7"/>
    </w:p>
    <w:p w14:paraId="1644751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建立设备健康档案：为每个站点、每台设备建立维护历史记录，跟踪关键部件（如风扇、枪线、配电设备）的使用寿命。</w:t>
      </w:r>
    </w:p>
    <w:p w14:paraId="24CB2D0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制定预防性更换计划：针对易损件（如枪线、密封条、风扇）设定更换周期，避免突发故障。</w:t>
      </w:r>
    </w:p>
    <w:p w14:paraId="2E5C67B1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环境适应性改造：针对站点#23等存在潮气问题的站点，加装防凝露装置、改善通风，并开展季节性专项检查。</w:t>
      </w:r>
    </w:p>
    <w:p w14:paraId="1F3D5A12">
      <w:pPr>
        <w:pStyle w:val="28"/>
        <w:bidi w:val="0"/>
        <w:rPr>
          <w:rFonts w:hint="default"/>
          <w:lang w:val="en-US" w:eastAsia="zh-CN"/>
        </w:rPr>
      </w:pPr>
      <w:bookmarkStart w:id="8" w:name="_Toc21448"/>
      <w:r>
        <w:rPr>
          <w:rFonts w:hint="default"/>
          <w:lang w:val="en-US" w:eastAsia="zh-CN"/>
        </w:rPr>
        <w:t>网络与系统监控优化</w:t>
      </w:r>
      <w:bookmarkEnd w:id="8"/>
    </w:p>
    <w:p w14:paraId="2851AAB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部署网络质量监测工具：实时监控各站点网络延迟、丢包率，设置阈值告警。</w:t>
      </w:r>
    </w:p>
    <w:p w14:paraId="6E5A500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建立平台日志智能分析机制：通过日志分析系统自动识别异常模式（如频繁闪断、服务异常），提前预警。</w:t>
      </w:r>
    </w:p>
    <w:p w14:paraId="7C26339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加强数据一致性校验：每月开展一次平台与现场数据的全面比对，确保计费与充电记录准确。</w:t>
      </w:r>
    </w:p>
    <w:p w14:paraId="4692DF96">
      <w:pPr>
        <w:pStyle w:val="28"/>
        <w:bidi w:val="0"/>
        <w:rPr>
          <w:rFonts w:hint="default"/>
          <w:lang w:val="en-US" w:eastAsia="zh-CN"/>
        </w:rPr>
      </w:pPr>
      <w:bookmarkStart w:id="9" w:name="_Toc3747"/>
      <w:r>
        <w:rPr>
          <w:rFonts w:hint="default"/>
          <w:lang w:val="en-US" w:eastAsia="zh-CN"/>
        </w:rPr>
        <w:t>问题跟踪与闭环管理</w:t>
      </w:r>
      <w:bookmarkEnd w:id="9"/>
    </w:p>
    <w:p w14:paraId="1A164D1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完善工单管理系统：所有巡检发现问题必须录入系统（如Jira），明确责任人、处理时限、验收标准。</w:t>
      </w:r>
    </w:p>
    <w:p w14:paraId="347DE0D1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建立问题复盘机制：对中高等级问题进行根本原因分析，制定防止再发生措施。</w:t>
      </w:r>
    </w:p>
    <w:p w14:paraId="0F9F54C1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实施整改验收制度：整改完成后须由巡检人员或第三方复核，确认闭环后方可关闭工单。</w:t>
      </w:r>
    </w:p>
    <w:p w14:paraId="62AB4C80">
      <w:pPr>
        <w:pStyle w:val="28"/>
        <w:bidi w:val="0"/>
        <w:rPr>
          <w:rFonts w:hint="default"/>
          <w:lang w:val="en-US" w:eastAsia="zh-CN"/>
        </w:rPr>
      </w:pPr>
      <w:bookmarkStart w:id="10" w:name="_Toc23626"/>
      <w:r>
        <w:rPr>
          <w:rFonts w:hint="default"/>
          <w:lang w:val="en-US" w:eastAsia="zh-CN"/>
        </w:rPr>
        <w:t>巡检质量与效果评估</w:t>
      </w:r>
      <w:bookmarkEnd w:id="10"/>
    </w:p>
    <w:p w14:paraId="76739A1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设立巡检KPI：包括问题发现率、整改完成率、设备可用率、用户投诉率等。</w:t>
      </w:r>
    </w:p>
    <w:p w14:paraId="202B832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开展不定期抽查：由项目经理或质量部门对已巡检站点进行抽查，评估巡检执行质量。</w:t>
      </w:r>
    </w:p>
    <w:p w14:paraId="13EED8A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建立用户反馈渠道：通过APP、现场二维码等方式收集用户使用体验，作为巡检效果的补充评价。</w:t>
      </w:r>
    </w:p>
    <w:p w14:paraId="7B254C49">
      <w:pPr>
        <w:pStyle w:val="26"/>
        <w:bidi w:val="0"/>
        <w:rPr>
          <w:rFonts w:hint="default"/>
          <w:lang w:val="en-US" w:eastAsia="zh-CN"/>
        </w:rPr>
      </w:pPr>
      <w:bookmarkStart w:id="11" w:name="_Toc18014"/>
      <w:r>
        <w:rPr>
          <w:rFonts w:hint="default"/>
          <w:lang w:val="en-US" w:eastAsia="zh-CN"/>
        </w:rPr>
        <w:t>实施计划</w:t>
      </w:r>
      <w:bookmarkEnd w:id="11"/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7"/>
        <w:gridCol w:w="1665"/>
        <w:gridCol w:w="5973"/>
      </w:tblGrid>
      <w:tr w14:paraId="0DD36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A2FA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C077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时间周期</w:t>
            </w:r>
          </w:p>
        </w:tc>
        <w:tc>
          <w:tcPr>
            <w:tcW w:w="59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1037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主要内容</w:t>
            </w:r>
          </w:p>
        </w:tc>
      </w:tr>
      <w:tr w14:paraId="55E31F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0DA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第一阶段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4540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2026年1月</w:t>
            </w:r>
          </w:p>
        </w:tc>
        <w:tc>
          <w:tcPr>
            <w:tcW w:w="5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2121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修订巡检标准、启动培训、部署网络监测工具</w:t>
            </w:r>
          </w:p>
        </w:tc>
      </w:tr>
      <w:tr w14:paraId="67FD0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9302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第二阶段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C49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2026年2月</w:t>
            </w:r>
          </w:p>
        </w:tc>
        <w:tc>
          <w:tcPr>
            <w:tcW w:w="5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7A8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建立设备健康档案、实施预防性维护试点（站点#12、#23）</w:t>
            </w:r>
          </w:p>
        </w:tc>
      </w:tr>
      <w:tr w14:paraId="636A0C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D1B8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第三阶段</w:t>
            </w:r>
          </w:p>
        </w:tc>
        <w:tc>
          <w:tcPr>
            <w:tcW w:w="16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146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2026年3月起</w:t>
            </w:r>
          </w:p>
        </w:tc>
        <w:tc>
          <w:tcPr>
            <w:tcW w:w="59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DCFB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全面推行电子化巡检、建立问题闭环机制、开展首次效果评估</w:t>
            </w:r>
          </w:p>
        </w:tc>
      </w:tr>
    </w:tbl>
    <w:p w14:paraId="2A72CAA9">
      <w:pPr>
        <w:pStyle w:val="26"/>
        <w:bidi w:val="0"/>
        <w:rPr>
          <w:rFonts w:hint="default"/>
          <w:lang w:val="en-US" w:eastAsia="zh-CN"/>
        </w:rPr>
      </w:pPr>
      <w:bookmarkStart w:id="12" w:name="_Toc26102"/>
      <w:r>
        <w:rPr>
          <w:rFonts w:hint="default"/>
          <w:lang w:val="en-US" w:eastAsia="zh-CN"/>
        </w:rPr>
        <w:t>责任分工</w:t>
      </w:r>
      <w:bookmarkEnd w:id="12"/>
    </w:p>
    <w:p w14:paraId="58DC87F2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项目经理：统筹改进方案实施，监督进度与质量。</w:t>
      </w:r>
    </w:p>
    <w:p w14:paraId="58A3B1A3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运维团队：执行巡检、维护、整改任务，反馈执行问题。</w:t>
      </w:r>
    </w:p>
    <w:p w14:paraId="6B4D2E0A">
      <w:pPr>
        <w:pStyle w:val="26"/>
        <w:bidi w:val="0"/>
        <w:rPr>
          <w:rFonts w:hint="default"/>
          <w:lang w:val="en-US" w:eastAsia="zh-CN"/>
        </w:rPr>
      </w:pPr>
      <w:bookmarkStart w:id="13" w:name="_Toc10464"/>
      <w:r>
        <w:rPr>
          <w:rFonts w:hint="default"/>
          <w:lang w:val="en-US" w:eastAsia="zh-CN"/>
        </w:rPr>
        <w:t>预期成效</w:t>
      </w:r>
      <w:bookmarkEnd w:id="13"/>
    </w:p>
    <w:p w14:paraId="0971E6CA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设备故障率下降0%</w:t>
      </w:r>
    </w:p>
    <w:p w14:paraId="5E618A42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用户投诉率降低15%</w:t>
      </w:r>
    </w:p>
    <w:p w14:paraId="28F3382E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巡检数据完整率与准确率达 100%</w:t>
      </w:r>
    </w:p>
    <w:sectPr>
      <w:footerReference r:id="rId5" w:type="default"/>
      <w:pgSz w:w="11906" w:h="16839"/>
      <w:pgMar w:top="1431" w:right="1595" w:bottom="1473" w:left="1785" w:header="0" w:footer="122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839D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1C626C"/>
    <w:rsid w:val="01785B98"/>
    <w:rsid w:val="0191060D"/>
    <w:rsid w:val="01C60793"/>
    <w:rsid w:val="02144177"/>
    <w:rsid w:val="02F53218"/>
    <w:rsid w:val="03A52548"/>
    <w:rsid w:val="03ED5F26"/>
    <w:rsid w:val="03FE7173"/>
    <w:rsid w:val="04C133B2"/>
    <w:rsid w:val="05171224"/>
    <w:rsid w:val="07B02B10"/>
    <w:rsid w:val="080A32C2"/>
    <w:rsid w:val="09862E1C"/>
    <w:rsid w:val="09FB69A5"/>
    <w:rsid w:val="0A5126DF"/>
    <w:rsid w:val="0AB35B63"/>
    <w:rsid w:val="0ABC2087"/>
    <w:rsid w:val="0B2E5519"/>
    <w:rsid w:val="0BDE588B"/>
    <w:rsid w:val="0C3737A1"/>
    <w:rsid w:val="0C5B0590"/>
    <w:rsid w:val="0CAF61E6"/>
    <w:rsid w:val="0CE438D3"/>
    <w:rsid w:val="0DA73361"/>
    <w:rsid w:val="0DB83011"/>
    <w:rsid w:val="104079A4"/>
    <w:rsid w:val="11561326"/>
    <w:rsid w:val="11731ED8"/>
    <w:rsid w:val="12F47048"/>
    <w:rsid w:val="133D279D"/>
    <w:rsid w:val="14465682"/>
    <w:rsid w:val="16ED44DA"/>
    <w:rsid w:val="1721492C"/>
    <w:rsid w:val="17A10E21"/>
    <w:rsid w:val="188D7C5B"/>
    <w:rsid w:val="196B2580"/>
    <w:rsid w:val="1A70446A"/>
    <w:rsid w:val="1BBD74D6"/>
    <w:rsid w:val="1BC81262"/>
    <w:rsid w:val="1C625023"/>
    <w:rsid w:val="1CF55E97"/>
    <w:rsid w:val="1DEF6D8A"/>
    <w:rsid w:val="1E470974"/>
    <w:rsid w:val="1EF26B32"/>
    <w:rsid w:val="1F5844BB"/>
    <w:rsid w:val="20484530"/>
    <w:rsid w:val="20902076"/>
    <w:rsid w:val="21DD7E45"/>
    <w:rsid w:val="22C34341"/>
    <w:rsid w:val="23E66539"/>
    <w:rsid w:val="246D6B15"/>
    <w:rsid w:val="270D0281"/>
    <w:rsid w:val="273473B1"/>
    <w:rsid w:val="28B17A6C"/>
    <w:rsid w:val="2913307B"/>
    <w:rsid w:val="29DA6B40"/>
    <w:rsid w:val="2B0136EC"/>
    <w:rsid w:val="2B512E32"/>
    <w:rsid w:val="2B595843"/>
    <w:rsid w:val="2BB60F80"/>
    <w:rsid w:val="2BDE3F9A"/>
    <w:rsid w:val="2CB92267"/>
    <w:rsid w:val="2D7E3C87"/>
    <w:rsid w:val="2DD90EBD"/>
    <w:rsid w:val="2E953036"/>
    <w:rsid w:val="30E052E7"/>
    <w:rsid w:val="31815AF3"/>
    <w:rsid w:val="31872DB7"/>
    <w:rsid w:val="321921D0"/>
    <w:rsid w:val="33AF4B9A"/>
    <w:rsid w:val="345C4021"/>
    <w:rsid w:val="353115DE"/>
    <w:rsid w:val="37660B99"/>
    <w:rsid w:val="38331AE3"/>
    <w:rsid w:val="391536F1"/>
    <w:rsid w:val="39921DDC"/>
    <w:rsid w:val="39AA5818"/>
    <w:rsid w:val="3A246042"/>
    <w:rsid w:val="3A2D6818"/>
    <w:rsid w:val="3A863CF1"/>
    <w:rsid w:val="3B814871"/>
    <w:rsid w:val="3C19028A"/>
    <w:rsid w:val="3C371BD0"/>
    <w:rsid w:val="3C5A3D43"/>
    <w:rsid w:val="3E4E3201"/>
    <w:rsid w:val="3E854E75"/>
    <w:rsid w:val="3F870779"/>
    <w:rsid w:val="41006A35"/>
    <w:rsid w:val="413C5988"/>
    <w:rsid w:val="417F282C"/>
    <w:rsid w:val="41874A60"/>
    <w:rsid w:val="421D66E1"/>
    <w:rsid w:val="428217D4"/>
    <w:rsid w:val="42C729C3"/>
    <w:rsid w:val="448B59E3"/>
    <w:rsid w:val="44D47DE8"/>
    <w:rsid w:val="44FF0DB1"/>
    <w:rsid w:val="45C8592C"/>
    <w:rsid w:val="46207ACD"/>
    <w:rsid w:val="471660D6"/>
    <w:rsid w:val="47B9793D"/>
    <w:rsid w:val="49C600F0"/>
    <w:rsid w:val="4A1C606C"/>
    <w:rsid w:val="4B3A6FE7"/>
    <w:rsid w:val="4B49722A"/>
    <w:rsid w:val="4B7E3407"/>
    <w:rsid w:val="4C0860B4"/>
    <w:rsid w:val="4C5D756C"/>
    <w:rsid w:val="4D5B476E"/>
    <w:rsid w:val="4FDB2C90"/>
    <w:rsid w:val="4FF27771"/>
    <w:rsid w:val="503B7459"/>
    <w:rsid w:val="50E84DEF"/>
    <w:rsid w:val="5539030F"/>
    <w:rsid w:val="55A27C63"/>
    <w:rsid w:val="56535401"/>
    <w:rsid w:val="5900361E"/>
    <w:rsid w:val="5AF05E41"/>
    <w:rsid w:val="5EC450EE"/>
    <w:rsid w:val="5F9E3142"/>
    <w:rsid w:val="5FB711E9"/>
    <w:rsid w:val="61073070"/>
    <w:rsid w:val="6175345D"/>
    <w:rsid w:val="6241391E"/>
    <w:rsid w:val="62AD4C85"/>
    <w:rsid w:val="633914DA"/>
    <w:rsid w:val="63714E7E"/>
    <w:rsid w:val="646B7DB9"/>
    <w:rsid w:val="65A17F37"/>
    <w:rsid w:val="67EC3CDB"/>
    <w:rsid w:val="68987CBD"/>
    <w:rsid w:val="693410C2"/>
    <w:rsid w:val="6B5C3A54"/>
    <w:rsid w:val="6C066D46"/>
    <w:rsid w:val="6D7A4FB0"/>
    <w:rsid w:val="6DC5053A"/>
    <w:rsid w:val="6DF86AA4"/>
    <w:rsid w:val="70F133F4"/>
    <w:rsid w:val="74116287"/>
    <w:rsid w:val="74AA46FD"/>
    <w:rsid w:val="74CC21AE"/>
    <w:rsid w:val="755503F6"/>
    <w:rsid w:val="776B5CAF"/>
    <w:rsid w:val="7B436BB5"/>
    <w:rsid w:val="7BB5399C"/>
    <w:rsid w:val="7C3C0199"/>
    <w:rsid w:val="7DD5166A"/>
    <w:rsid w:val="7EF0182C"/>
    <w:rsid w:val="7F2826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link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1 Char"/>
    <w:link w:val="26"/>
    <w:qFormat/>
    <w:uiPriority w:val="0"/>
    <w:rPr>
      <w:rFonts w:ascii="Arial" w:hAnsi="Arial" w:eastAsia="宋体"/>
      <w:sz w:val="32"/>
    </w:rPr>
  </w:style>
  <w:style w:type="character" w:customStyle="1" w:styleId="32">
    <w:name w:val="柴_标题3 Char"/>
    <w:link w:val="29"/>
    <w:qFormat/>
    <w:uiPriority w:val="0"/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1112</Words>
  <Characters>1193</Characters>
  <Lines>0</Lines>
  <Paragraphs>0</Paragraphs>
  <TotalTime>0</TotalTime>
  <ScaleCrop>false</ScaleCrop>
  <LinksUpToDate>false</LinksUpToDate>
  <CharactersWithSpaces>1246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2025-08-15T15:48:00Z</dcterms:created>
  <dc:creator>杜高明</dc:creator>
  <cp:lastModifiedBy>郝宇</cp:lastModifiedBy>
  <dcterms:modified xsi:type="dcterms:W3CDTF">2026-02-27T08:36:29Z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2025-08-16T03:30:03Z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674D07E3A33845EB81407F71F4A5829D_12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