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17869"/>
      <w:r>
        <w:rPr>
          <w:rFonts w:hint="eastAsia"/>
          <w:lang w:val="en-US" w:eastAsia="zh-CN"/>
        </w:rPr>
        <w:t>应急管理制度</w:t>
      </w:r>
      <w:bookmarkEnd w:id="0"/>
    </w:p>
    <w:p>
      <w:pPr>
        <w:pStyle w:val="a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" w:name="_Toc31801"/>
      <w:r>
        <w:t>中达丰集团有限公司</w:t>
      </w:r>
      <w:bookmarkEnd w:id="1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ind w:left="328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-01-04</w:t>
      </w: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19356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eastAsia="宋体" w:hint="eastAsia"/>
                <w:spacing w:val="-1"/>
                <w:lang w:val="en-US" w:eastAsia="zh-CN"/>
              </w:rPr>
              <w:t>应急管理制度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YJGLZD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eastAsia="宋体" w:hAnsi="宋体" w:cs="Times New Roman"/>
          <w:kern w:val="2"/>
          <w:sz w:val="21"/>
          <w:szCs w:val="24"/>
          <w:lang w:val="en-US" w:eastAsia="zh-CN" w:bidi="ar-SA"/>
        </w:rPr>
        <w:id w:val="147474200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kern w:val="2"/>
          <w:sz w:val="24"/>
          <w:szCs w:val="24"/>
          <w:lang w:val="en-US" w:eastAsia="zh-CN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jc w:val="center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_Toc17869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应急管理制度</w:t>
          </w:r>
          <w:r>
            <w:tab/>
          </w:r>
          <w:r>
            <w:fldChar w:fldCharType="begin"/>
          </w:r>
          <w:r>
            <w:instrText xml:space="preserve"> PAGEREF _Toc17869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_Toc31801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_Toc31801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_Toc19356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_Toc19356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_Toc18228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_Toc18228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_Toc4629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_Toc4629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_Toc18340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_Toc18340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_Toc14032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制定依据</w:t>
          </w:r>
          <w:r>
            <w:tab/>
          </w:r>
          <w:r>
            <w:fldChar w:fldCharType="begin"/>
          </w:r>
          <w:r>
            <w:instrText xml:space="preserve"> PAGEREF _Toc14032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_Toc621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_Toc621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_Toc14885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应急管理组织与职责</w:t>
          </w:r>
          <w:r>
            <w:tab/>
          </w:r>
          <w:r>
            <w:fldChar w:fldCharType="begin"/>
          </w:r>
          <w:r>
            <w:instrText xml:space="preserve"> PAGEREF _Toc14885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_Toc20869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应急管理领导小组</w:t>
          </w:r>
          <w:r>
            <w:tab/>
          </w:r>
          <w:r>
            <w:fldChar w:fldCharType="begin"/>
          </w:r>
          <w:r>
            <w:instrText xml:space="preserve"> PAGEREF _Toc20869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_Toc25920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应急执行小组</w:t>
          </w:r>
          <w:r>
            <w:tab/>
          </w:r>
          <w:r>
            <w:fldChar w:fldCharType="begin"/>
          </w:r>
          <w:r>
            <w:instrText xml:space="preserve"> PAGEREF _Toc25920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_Toc7212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支持保障小组</w:t>
          </w:r>
          <w:r>
            <w:tab/>
          </w:r>
          <w:r>
            <w:fldChar w:fldCharType="begin"/>
          </w:r>
          <w:r>
            <w:instrText xml:space="preserve"> PAGEREF _Toc7212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_Toc25093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风险评估管理机制</w:t>
          </w:r>
          <w:r>
            <w:tab/>
          </w:r>
          <w:r>
            <w:fldChar w:fldCharType="begin"/>
          </w:r>
          <w:r>
            <w:instrText xml:space="preserve"> PAGEREF _Toc25093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_Toc19920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风险评估流程</w:t>
          </w:r>
          <w:r>
            <w:tab/>
          </w:r>
          <w:r>
            <w:fldChar w:fldCharType="begin"/>
          </w:r>
          <w:r>
            <w:instrText xml:space="preserve"> PAGEREF _Toc19920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_Toc6872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资产价值评估</w:t>
          </w:r>
          <w:r>
            <w:tab/>
          </w:r>
          <w:r>
            <w:fldChar w:fldCharType="begin"/>
          </w:r>
          <w:r>
            <w:instrText xml:space="preserve"> PAGEREF _Toc6872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_Toc26931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资产分类</w:t>
          </w:r>
          <w:r>
            <w:tab/>
          </w:r>
          <w:r>
            <w:fldChar w:fldCharType="begin"/>
          </w:r>
          <w:r>
            <w:instrText xml:space="preserve"> PAGEREF _Toc26931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_Toc27068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资产赋值表</w:t>
          </w:r>
          <w:r>
            <w:tab/>
          </w:r>
          <w:r>
            <w:fldChar w:fldCharType="begin"/>
          </w:r>
          <w:r>
            <w:instrText xml:space="preserve"> PAGEREF _Toc27068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_Toc16772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威胁评估模型</w:t>
          </w:r>
          <w:r>
            <w:tab/>
          </w:r>
          <w:r>
            <w:fldChar w:fldCharType="begin"/>
          </w:r>
          <w:r>
            <w:instrText xml:space="preserve"> PAGEREF _Toc16772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_Toc6512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威胁来源分类</w:t>
          </w:r>
          <w:r>
            <w:tab/>
          </w:r>
          <w:r>
            <w:fldChar w:fldCharType="begin"/>
          </w:r>
          <w:r>
            <w:instrText xml:space="preserve"> PAGEREF _Toc6512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_Toc29072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威胁频率等级</w:t>
          </w:r>
          <w:r>
            <w:tab/>
          </w:r>
          <w:r>
            <w:fldChar w:fldCharType="begin"/>
          </w:r>
          <w:r>
            <w:instrText xml:space="preserve"> PAGEREF _Toc29072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_Toc4210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风险矩阵与等级划分</w:t>
          </w:r>
          <w:r>
            <w:tab/>
          </w:r>
          <w:r>
            <w:fldChar w:fldCharType="begin"/>
          </w:r>
          <w:r>
            <w:instrText xml:space="preserve"> PAGEREF _Toc4210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_Toc10554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风险评估周期</w:t>
          </w:r>
          <w:r>
            <w:tab/>
          </w:r>
          <w:r>
            <w:fldChar w:fldCharType="begin"/>
          </w:r>
          <w:r>
            <w:instrText xml:space="preserve"> PAGEREF _Toc10554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_Toc32010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应急事件与应急预案体系</w:t>
          </w:r>
          <w:r>
            <w:tab/>
          </w:r>
          <w:r>
            <w:fldChar w:fldCharType="begin"/>
          </w:r>
          <w:r>
            <w:instrText xml:space="preserve"> PAGEREF _Toc32010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_Toc27600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事件分级标准</w:t>
          </w:r>
          <w:r>
            <w:tab/>
          </w:r>
          <w:r>
            <w:fldChar w:fldCharType="begin"/>
          </w:r>
          <w:r>
            <w:instrText xml:space="preserve"> PAGEREF _Toc27600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_Toc21202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事件分类示例</w:t>
          </w:r>
          <w:r>
            <w:tab/>
          </w:r>
          <w:r>
            <w:fldChar w:fldCharType="begin"/>
          </w:r>
          <w:r>
            <w:instrText xml:space="preserve"> PAGEREF _Toc21202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_Toc28158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应急预案体系</w:t>
          </w:r>
          <w:r>
            <w:tab/>
          </w:r>
          <w:r>
            <w:fldChar w:fldCharType="begin"/>
          </w:r>
          <w:r>
            <w:instrText xml:space="preserve"> PAGEREF _Toc28158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_Toc11604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5.3.1. </w:t>
          </w:r>
          <w:r>
            <w:rPr>
              <w:rFonts w:hint="eastAsia"/>
              <w:lang w:val="en-US" w:eastAsia="zh-CN"/>
            </w:rPr>
            <w:t>应急预案启动</w:t>
          </w:r>
          <w:r>
            <w:tab/>
          </w:r>
          <w:r>
            <w:fldChar w:fldCharType="begin"/>
          </w:r>
          <w:r>
            <w:instrText xml:space="preserve"> PAGEREF _Toc11604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_Toc30832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5.3.2. </w:t>
          </w:r>
          <w:r>
            <w:rPr>
              <w:rFonts w:hint="eastAsia"/>
              <w:lang w:val="en-US" w:eastAsia="zh-CN"/>
            </w:rPr>
            <w:t>应急指挥与授权</w:t>
          </w:r>
          <w:r>
            <w:tab/>
          </w:r>
          <w:r>
            <w:fldChar w:fldCharType="begin"/>
          </w:r>
          <w:r>
            <w:instrText xml:space="preserve"> PAGEREF _Toc30832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_Toc2226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5.3.3. </w:t>
          </w:r>
          <w:r>
            <w:rPr>
              <w:rFonts w:hint="eastAsia"/>
              <w:lang w:val="en-US" w:eastAsia="zh-CN"/>
            </w:rPr>
            <w:t>核心场景处置指引</w:t>
          </w:r>
          <w:r>
            <w:tab/>
          </w:r>
          <w:r>
            <w:fldChar w:fldCharType="begin"/>
          </w:r>
          <w:r>
            <w:instrText xml:space="preserve"> PAGEREF _Toc2226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_Toc7261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应急响应流程</w:t>
          </w:r>
          <w:r>
            <w:tab/>
          </w:r>
          <w:r>
            <w:fldChar w:fldCharType="begin"/>
          </w:r>
          <w:r>
            <w:instrText xml:space="preserve"> PAGEREF _Toc7261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_Toc2165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总体响应流程</w:t>
          </w:r>
          <w:r>
            <w:tab/>
          </w:r>
          <w:r>
            <w:fldChar w:fldCharType="begin"/>
          </w:r>
          <w:r>
            <w:instrText xml:space="preserve"> PAGEREF _Toc2165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_Toc12692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各阶段详细要求</w:t>
          </w:r>
          <w:r>
            <w:tab/>
          </w:r>
          <w:r>
            <w:fldChar w:fldCharType="begin"/>
          </w:r>
          <w:r>
            <w:instrText xml:space="preserve"> PAGEREF _Toc12692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_Toc1526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6.2.1. 监测与报告阶段</w:t>
          </w:r>
          <w:r>
            <w:tab/>
          </w:r>
          <w:r>
            <w:fldChar w:fldCharType="begin"/>
          </w:r>
          <w:r>
            <w:instrText xml:space="preserve"> PAGEREF _Toc1526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_Toc4543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6.2.2. 分析与定级阶段</w:t>
          </w:r>
          <w:r>
            <w:tab/>
          </w:r>
          <w:r>
            <w:fldChar w:fldCharType="begin"/>
          </w:r>
          <w:r>
            <w:instrText xml:space="preserve"> PAGEREF _Toc4543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_Toc11013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6.2.3. 应急处置阶段</w:t>
          </w:r>
          <w:r>
            <w:tab/>
          </w:r>
          <w:r>
            <w:fldChar w:fldCharType="begin"/>
          </w:r>
          <w:r>
            <w:instrText xml:space="preserve"> PAGEREF _Toc11013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_Toc25339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6.2.4. 恢复与验证阶段</w:t>
          </w:r>
          <w:r>
            <w:tab/>
          </w:r>
          <w:r>
            <w:fldChar w:fldCharType="begin"/>
          </w:r>
          <w:r>
            <w:instrText xml:space="preserve"> PAGEREF _Toc25339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_Toc17073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6.2.5. </w:t>
          </w:r>
          <w:r>
            <w:rPr>
              <w:rFonts w:hint="eastAsia"/>
              <w:lang w:val="en-US" w:eastAsia="zh-CN"/>
            </w:rPr>
            <w:t>总结与报告阶段</w:t>
          </w:r>
          <w:r>
            <w:tab/>
          </w:r>
          <w:r>
            <w:fldChar w:fldCharType="begin"/>
          </w:r>
          <w:r>
            <w:instrText xml:space="preserve"> PAGEREF _Toc17073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_Toc5112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6.2.6. 总结改进阶段</w:t>
          </w:r>
          <w:r>
            <w:tab/>
          </w:r>
          <w:r>
            <w:fldChar w:fldCharType="begin"/>
          </w:r>
          <w:r>
            <w:instrText xml:space="preserve"> PAGEREF _Toc5112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_Toc31069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应急沟通管理机制</w:t>
          </w:r>
          <w:r>
            <w:tab/>
          </w:r>
          <w:r>
            <w:fldChar w:fldCharType="begin"/>
          </w:r>
          <w:r>
            <w:instrText xml:space="preserve"> PAGEREF _Toc31069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_Toc32307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沟通原则</w:t>
          </w:r>
          <w:r>
            <w:tab/>
          </w:r>
          <w:r>
            <w:fldChar w:fldCharType="begin"/>
          </w:r>
          <w:r>
            <w:instrText xml:space="preserve"> PAGEREF _Toc32307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_Toc20110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信息发布管理</w:t>
          </w:r>
          <w:r>
            <w:tab/>
          </w:r>
          <w:r>
            <w:fldChar w:fldCharType="begin"/>
          </w:r>
          <w:r>
            <w:instrText xml:space="preserve"> PAGEREF _Toc20110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_Toc1817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沟通障碍处理</w:t>
          </w:r>
          <w:r>
            <w:tab/>
          </w:r>
          <w:r>
            <w:fldChar w:fldCharType="begin"/>
          </w:r>
          <w:r>
            <w:instrText xml:space="preserve"> PAGEREF _Toc1817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_Toc19986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应急保障与资源管理</w:t>
          </w:r>
          <w:r>
            <w:tab/>
          </w:r>
          <w:r>
            <w:fldChar w:fldCharType="begin"/>
          </w:r>
          <w:r>
            <w:instrText xml:space="preserve"> PAGEREF _Toc19986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_Toc7945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8.1. 人力资源保障</w:t>
          </w:r>
          <w:r>
            <w:tab/>
          </w:r>
          <w:r>
            <w:fldChar w:fldCharType="begin"/>
          </w:r>
          <w:r>
            <w:instrText xml:space="preserve"> PAGEREF _Toc7945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_Toc4975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8.2. 技术资源保障</w:t>
          </w:r>
          <w:r>
            <w:tab/>
          </w:r>
          <w:r>
            <w:fldChar w:fldCharType="begin"/>
          </w:r>
          <w:r>
            <w:instrText xml:space="preserve"> PAGEREF _Toc4975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_Toc13708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8.3. 物资与后勤保障</w:t>
          </w:r>
          <w:r>
            <w:tab/>
          </w:r>
          <w:r>
            <w:fldChar w:fldCharType="begin"/>
          </w:r>
          <w:r>
            <w:instrText xml:space="preserve"> PAGEREF _Toc13708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_Toc29116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应急演练与持续改进</w:t>
          </w:r>
          <w:r>
            <w:tab/>
          </w:r>
          <w:r>
            <w:fldChar w:fldCharType="begin"/>
          </w:r>
          <w:r>
            <w:instrText xml:space="preserve"> PAGEREF _Toc29116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_Toc13380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9.1. 演练计划</w:t>
          </w:r>
          <w:r>
            <w:tab/>
          </w:r>
          <w:r>
            <w:fldChar w:fldCharType="begin"/>
          </w:r>
          <w:r>
            <w:instrText xml:space="preserve"> PAGEREF _Toc13380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_Toc11091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9.2. 演练流程</w:t>
          </w:r>
          <w:r>
            <w:tab/>
          </w:r>
          <w:r>
            <w:fldChar w:fldCharType="begin"/>
          </w:r>
          <w:r>
            <w:instrText xml:space="preserve"> PAGEREF _Toc11091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_Toc24160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9.3. 持续改进机制</w:t>
          </w:r>
          <w:r>
            <w:tab/>
          </w:r>
          <w:r>
            <w:fldChar w:fldCharType="begin"/>
          </w:r>
          <w:r>
            <w:instrText xml:space="preserve"> PAGEREF _Toc24160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_Toc16380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_Toc16380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_Toc8339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附则与附件</w:t>
          </w:r>
          <w:r>
            <w:tab/>
          </w:r>
          <w:r>
            <w:fldChar w:fldCharType="begin"/>
          </w:r>
          <w:r>
            <w:instrText xml:space="preserve"> PAGEREF _Toc8339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_Toc19837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10.1. 制度生效与修订</w:t>
          </w:r>
          <w:r>
            <w:tab/>
          </w:r>
          <w:r>
            <w:fldChar w:fldCharType="begin"/>
          </w:r>
          <w:r>
            <w:instrText xml:space="preserve"> PAGEREF _Toc19837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_Toc32225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10.2. 附件清单</w:t>
          </w:r>
          <w:r>
            <w:tab/>
          </w:r>
          <w:r>
            <w:fldChar w:fldCharType="begin"/>
          </w:r>
          <w:r>
            <w:instrText xml:space="preserve"> PAGEREF _Toc32225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9082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_Toc7613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10.3. 相关文件</w:t>
          </w:r>
          <w:r>
            <w:tab/>
          </w:r>
          <w:r>
            <w:fldChar w:fldCharType="begin"/>
          </w:r>
          <w:r>
            <w:instrText xml:space="preserve"> PAGEREF _Toc7613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rPr>
              <w:rFonts w:ascii="Microsoft JhengHei" w:eastAsia="Microsoft JhengHei" w:hAnsi="Microsoft JhengHei" w:cs="Microsoft JhengHei" w:hint="eastAsia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Microsoft JhengHei" w:eastAsia="Microsoft JhengHei" w:hAnsi="Microsoft JhengHei" w:cs="Microsoft JhengHei" w:hint="eastAsia"/>
          <w:kern w:val="2"/>
          <w:sz w:val="24"/>
          <w:szCs w:val="24"/>
          <w:lang w:val="en-US" w:eastAsia="zh-CN" w:bidi="ar-SA"/>
        </w:rPr>
        <w:sectPr>
          <w:pgSz w:w="11906" w:h="16839"/>
          <w:pgMar w:top="1431" w:right="1236" w:bottom="708" w:left="1588" w:header="0" w:footer="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3" w:name="_Toc18228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4" w:name="_Toc4629"/>
      <w:r>
        <w:rPr>
          <w:rFonts w:hint="default"/>
          <w:lang w:val="en-US" w:eastAsia="zh-CN"/>
        </w:rPr>
        <w:t>目的</w:t>
      </w:r>
      <w:bookmarkEnd w:id="4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为建立健全公司应急响应与风险管理体系，规范应急事件的预防、准备、响应、恢复和改进全过程管理，提升信息系统运维服务的可靠性与连续性，最大限度降低应急事件对客户业务的影响，特制定本制度。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5" w:name="_Toc18340"/>
      <w:r>
        <w:rPr>
          <w:rFonts w:hint="default"/>
          <w:lang w:val="en-US" w:eastAsia="zh-CN"/>
        </w:rPr>
        <w:t>适用范围</w:t>
      </w:r>
      <w:bookmarkEnd w:id="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本制度适用于公司所有</w:t>
      </w:r>
      <w:r>
        <w:rPr>
          <w:rFonts w:ascii="宋体" w:eastAsia="宋体" w:hAnsi="宋体" w:cs="宋体" w:hint="eastAsia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运维服务项目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6" w:name="_Toc14032"/>
      <w:r>
        <w:rPr>
          <w:rFonts w:hint="default"/>
          <w:lang w:val="en-US" w:eastAsia="zh-CN"/>
        </w:rPr>
        <w:t>制定依据</w:t>
      </w:r>
      <w:bookmarkEnd w:id="6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《信息技术服务运行维护服务能力成熟度模型》（T/CESA 1299-2023）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《信息技术服务运行维护第1部分：通用要求》（GB/T 28827.1-2022）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公司质量与安全管理体系文件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7" w:name="_Toc621"/>
      <w:r>
        <w:rPr>
          <w:rFonts w:hint="default"/>
          <w:lang w:val="en-US" w:eastAsia="zh-CN"/>
        </w:rPr>
        <w:t>术语与定义</w:t>
      </w:r>
      <w:bookmarkEnd w:id="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6"/>
        <w:gridCol w:w="7718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导致或即将导致运维服务对象运行中断、运行质量降低，以及需要实施重点时段保障的事件。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组织为预防、监控、处置和管理应急事件所采取的措施和活动。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对信息系统及其相关环境进行资产识别、威胁分析、脆弱性评估，以确定风险等级的过程。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残余风险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在采取安全控制措施后仍无法完全消除的风险。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重点时段保障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在特定时间段内提升服务级别，确保重要活动或业务连续运行的措施。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应急管理小组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由公司指定人员组成的负责应急响应指挥与协调的组织。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8" w:name="_Toc14885"/>
      <w:r>
        <w:rPr>
          <w:rFonts w:hint="default"/>
          <w:lang w:val="en-US" w:eastAsia="zh-CN"/>
        </w:rPr>
        <w:t>应急管理组织与职责</w:t>
      </w:r>
      <w:bookmarkEnd w:id="8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9" w:name="_Toc20869"/>
      <w:r>
        <w:rPr>
          <w:rFonts w:hint="default"/>
          <w:lang w:val="en-US" w:eastAsia="zh-CN"/>
        </w:rPr>
        <w:t>应急管理领导小组</w:t>
      </w:r>
      <w:bookmarkEnd w:id="9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组长：副总经理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副组长：质量部经理、</w:t>
      </w:r>
      <w:r>
        <w:rPr>
          <w:rFonts w:hint="eastAsia"/>
          <w:lang w:val="en-US" w:eastAsia="zh-CN"/>
        </w:rPr>
        <w:t>研发部经理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主要职责：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审批应急预案与风险评估报告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指挥重大应急事件处置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协调内外部资源支持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评估应急响应效果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0" w:name="_Toc25920"/>
      <w:r>
        <w:rPr>
          <w:rFonts w:hint="default"/>
          <w:lang w:val="en-US" w:eastAsia="zh-CN"/>
        </w:rPr>
        <w:t>应急执行小组</w:t>
      </w:r>
      <w:bookmarkEnd w:id="1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组长：运维</w:t>
      </w:r>
      <w:r>
        <w:rPr>
          <w:rFonts w:ascii="宋体" w:eastAsia="宋体" w:hAnsi="宋体" w:cs="宋体" w:hint="eastAsia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部经理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成员：</w:t>
      </w:r>
      <w:r>
        <w:rPr>
          <w:rFonts w:ascii="宋体" w:eastAsia="宋体" w:hAnsi="宋体" w:cs="宋体" w:hint="eastAsia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运维部成员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主要职责：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执行应急预案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开展事件分析与处置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负责现场指挥与技术恢复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编写事件报告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1" w:name="_Toc7212"/>
      <w:r>
        <w:rPr>
          <w:rFonts w:hint="default"/>
          <w:lang w:val="en-US" w:eastAsia="zh-CN"/>
        </w:rPr>
        <w:t>支持保障小组</w:t>
      </w:r>
      <w:bookmarkEnd w:id="1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成员：</w:t>
      </w:r>
      <w:r>
        <w:rPr>
          <w:rFonts w:ascii="宋体" w:eastAsia="宋体" w:hAnsi="宋体" w:cs="宋体" w:hint="eastAsia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采购部、人力资源部等运维相关部门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主要职责：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提供物资、交通、法律等支持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负责对外沟通与媒体应对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保障人员调配与后勤服务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2" w:name="_Toc25093"/>
      <w:r>
        <w:rPr>
          <w:rFonts w:hint="default"/>
          <w:lang w:val="en-US" w:eastAsia="zh-CN"/>
        </w:rPr>
        <w:t>风险评估管理机制</w:t>
      </w:r>
      <w:bookmarkEnd w:id="12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3" w:name="_Toc19920"/>
      <w:r>
        <w:rPr>
          <w:rFonts w:hint="default"/>
          <w:lang w:val="en-US" w:eastAsia="zh-CN"/>
        </w:rPr>
        <w:t>风险评估流程</w:t>
      </w:r>
      <w:bookmarkEnd w:id="1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准备阶段：明确评估目标、范围、方法与团队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资产识别：识别并分类信息系统资产，评估资产价值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威胁识别：分析可能面临的威胁来源与频率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脆弱性识别：识别技术与管理层面的弱点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风险分析：计算风险值，划分风险等级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风险处置：制定并实施风险控制措施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残余风险评价：评估控制后的剩余风险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4" w:name="_Toc6872"/>
      <w:r>
        <w:rPr>
          <w:rFonts w:hint="default"/>
          <w:lang w:val="en-US" w:eastAsia="zh-CN"/>
        </w:rPr>
        <w:t>资产价值评估</w:t>
      </w:r>
      <w:bookmarkEnd w:id="14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5" w:name="_Toc26931"/>
      <w:r>
        <w:rPr>
          <w:rFonts w:hint="default"/>
          <w:lang w:val="en-US" w:eastAsia="zh-CN"/>
        </w:rPr>
        <w:t>资产分类</w:t>
      </w:r>
      <w:bookmarkEnd w:id="15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5"/>
        <w:gridCol w:w="7399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数据库、配置文件、业务数据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操作系统、应用系统、中间件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服务器、网络设备、存储设备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业务系统、网络服务、云服务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关键技术人员、管理员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方案文档、操作手册、合同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6" w:name="_Toc27068"/>
      <w:r>
        <w:rPr>
          <w:rFonts w:hint="default"/>
          <w:lang w:val="en-US" w:eastAsia="zh-CN"/>
        </w:rPr>
        <w:t>资产赋值表</w:t>
      </w:r>
      <w:bookmarkEnd w:id="16"/>
    </w:p>
    <w:tbl>
      <w:tblPr>
        <w:tblStyle w:val="TableNormal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5"/>
        <w:gridCol w:w="2184"/>
        <w:gridCol w:w="2364"/>
        <w:gridCol w:w="1698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机密性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5（极高）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泄露会造成灾难性影响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破坏会导致业务完全中断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可用性要求≥99.9%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4（高）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泄露会造成严重损害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破坏会导致重大业务影响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允许中断&lt;10分钟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3（中）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泄露会造成一般损害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破坏会造成可修复影响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允许中断&lt;30分钟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2（低）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泄露影响轻微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破坏影响较小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允许中断&lt;60分钟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1（很低）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可公开信息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破坏可忽略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可用性要求低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7" w:name="_Toc16772"/>
      <w:r>
        <w:rPr>
          <w:rFonts w:hint="default"/>
          <w:lang w:val="en-US" w:eastAsia="zh-CN"/>
        </w:rPr>
        <w:t>威胁评估模型</w:t>
      </w:r>
      <w:bookmarkEnd w:id="17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8" w:name="_Toc6512"/>
      <w:r>
        <w:rPr>
          <w:rFonts w:hint="default"/>
          <w:lang w:val="en-US" w:eastAsia="zh-CN"/>
        </w:rPr>
        <w:t>威胁来源分类</w:t>
      </w:r>
      <w:bookmarkEnd w:id="18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环境因素：断电、火灾、水灾、地震等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人为因素（恶意）：黑客攻击、内部破坏、数据窃取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人为因素（非恶意）：操作失误、配置错误、维护不当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技术因素：硬件故障、软件缺陷、网络中断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9" w:name="_Toc29072"/>
      <w:r>
        <w:rPr>
          <w:rFonts w:hint="default"/>
          <w:lang w:val="en-US" w:eastAsia="zh-CN"/>
        </w:rPr>
        <w:t>威胁频率等级</w:t>
      </w:r>
      <w:bookmarkEnd w:id="19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3528"/>
        <w:gridCol w:w="4889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发生频率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描述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≥1次/周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频繁发生，几乎不可避免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≥1次/月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较常发生，可能性高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&gt;1次/半年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可能发生，有先例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≤1次/年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较少发生，可能性低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352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几乎不发生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罕见或例外情况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0" w:name="_Toc4210"/>
      <w:r>
        <w:rPr>
          <w:rFonts w:hint="default"/>
          <w:lang w:val="en-US" w:eastAsia="zh-CN"/>
        </w:rPr>
        <w:t>风险矩阵与等级划分</w:t>
      </w:r>
      <w:bookmarkEnd w:id="2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风险值 = 资产价值 × 威胁可能性 × 脆弱性严重程度</w:t>
      </w:r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1"/>
        <w:gridCol w:w="2276"/>
        <w:gridCol w:w="4487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风险值范围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风险等级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响应要求</w:t>
            </w:r>
          </w:p>
        </w:tc>
      </w:tr>
      <w:tr>
        <w:tblPrEx>
          <w:tblW w:w="9024" w:type="dxa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≥12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高（H）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立即处理，优先投入资源</w:t>
            </w:r>
          </w:p>
        </w:tc>
      </w:tr>
      <w:tr>
        <w:tblPrEx>
          <w:tblW w:w="9024" w:type="dxa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5-11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中（M）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制定计划，限期整改</w:t>
            </w:r>
          </w:p>
        </w:tc>
      </w:tr>
      <w:tr>
        <w:tblPrEx>
          <w:tblW w:w="9024" w:type="dxa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≤4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低（L）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日常监控，定期复查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1" w:name="_Toc10554"/>
      <w:r>
        <w:rPr>
          <w:rFonts w:hint="default"/>
          <w:lang w:val="en-US" w:eastAsia="zh-CN"/>
        </w:rPr>
        <w:t>风险评估周期</w:t>
      </w:r>
      <w:bookmarkEnd w:id="2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全面评估：每年至少一次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专项评估：系统重大变更后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临时评估：发生重大安全事件后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2" w:name="_Toc32010"/>
      <w:r>
        <w:rPr>
          <w:rFonts w:hint="eastAsia"/>
          <w:lang w:val="en-US" w:eastAsia="zh-CN"/>
        </w:rPr>
        <w:t>应急事件与应急预案体系</w:t>
      </w:r>
      <w:bookmarkEnd w:id="22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3" w:name="_Toc27600"/>
      <w:r>
        <w:rPr>
          <w:rFonts w:hint="default"/>
          <w:lang w:val="en-US" w:eastAsia="zh-CN"/>
        </w:rPr>
        <w:t>事件分级标准</w:t>
      </w:r>
      <w:bookmarkEnd w:id="23"/>
    </w:p>
    <w:tbl>
      <w:tblPr>
        <w:tblStyle w:val="TableNormal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2"/>
        <w:gridCol w:w="1104"/>
        <w:gridCol w:w="3084"/>
        <w:gridCol w:w="1104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综合分值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响应时限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I级（重大）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&gt;12分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核心业务完全中断，影响广泛用户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≤15分钟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II级（较大）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5-12分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部分核心业务中断，影响一定范围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≤30分钟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III级（一般）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1-4分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非核心业务中断，影响个别用户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≤60分钟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4" w:name="_Toc21202"/>
      <w:r>
        <w:rPr>
          <w:rFonts w:hint="default"/>
          <w:lang w:val="en-US" w:eastAsia="zh-CN"/>
        </w:rPr>
        <w:t>事件分类示例</w:t>
      </w:r>
      <w:bookmarkEnd w:id="2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网络类：网络中断、DDoS攻击、DNS故障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系统类：服务器宕机、操作系统崩溃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应用类：业务系统无法访问、数据错误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安全类：病毒爆发、未授权访问、数据泄露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设施类：电力中断、空调故障、火灾水灾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5" w:name="_Toc28158"/>
      <w:r>
        <w:rPr>
          <w:rFonts w:hint="eastAsia"/>
          <w:lang w:val="en-US" w:eastAsia="zh-CN"/>
        </w:rPr>
        <w:t>应急预案体系</w:t>
      </w:r>
      <w:bookmarkEnd w:id="25"/>
    </w:p>
    <w:p>
      <w:pPr>
        <w:pStyle w:val="3"/>
        <w:bidi w:val="0"/>
        <w:rPr>
          <w:rFonts w:hint="default"/>
          <w:lang w:val="en-US" w:eastAsia="zh-CN"/>
        </w:rPr>
      </w:pPr>
      <w:bookmarkStart w:id="26" w:name="_Toc11604"/>
      <w:r>
        <w:rPr>
          <w:rFonts w:hint="eastAsia"/>
          <w:lang w:val="en-US" w:eastAsia="zh-CN"/>
        </w:rPr>
        <w:t>应急预案启动</w:t>
      </w:r>
      <w:bookmarkEnd w:id="26"/>
    </w:p>
    <w:p>
      <w:pPr>
        <w:pStyle w:val="a"/>
        <w:bidi w:val="0"/>
      </w:pPr>
      <w:r>
        <w:t>公司应急预案体系采用“总体预案+专项预案+现场处置方案”三级结构：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总体预案：即本制度，规定应急组织、流程、保障等通用要求。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专项预案：针对特定类型事件（如核心系统宕机、网络攻击、数据泄露）制定的详细处置程序（参见附件X）。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现场处置方案：针对具体客户或业务系统编制的操作步骤、联络清单与恢复指南。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启动条件：发生Ⅰ级或Ⅱ级事件、客户正式请求、或应急领导小组研判有必要时立即启动。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27" w:name="_Toc30832"/>
      <w:r>
        <w:rPr>
          <w:rFonts w:hint="eastAsia"/>
          <w:lang w:val="en-US" w:eastAsia="zh-CN"/>
        </w:rPr>
        <w:t>应急指挥与授权</w:t>
      </w:r>
      <w:bookmarkEnd w:id="27"/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7"/>
        <w:gridCol w:w="1464"/>
        <w:gridCol w:w="1824"/>
        <w:gridCol w:w="2177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事件等级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现场指挥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资源调配权限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关键决策上报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Ⅰ级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副总经理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全部资源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对外发布、重大方案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Ⅱ级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运维部经理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部门内及关联资源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跨部门协调、预算外支出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Ⅲ级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项目组资源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无</w:t>
            </w:r>
          </w:p>
        </w:tc>
      </w:tr>
    </w:tbl>
    <w:p>
      <w:pPr>
        <w:pStyle w:val="3"/>
        <w:bidi w:val="0"/>
        <w:rPr>
          <w:rFonts w:hint="default"/>
          <w:lang w:val="en-US" w:eastAsia="zh-CN"/>
        </w:rPr>
      </w:pPr>
      <w:bookmarkStart w:id="28" w:name="_Toc2226"/>
      <w:r>
        <w:rPr>
          <w:rFonts w:hint="eastAsia"/>
          <w:lang w:val="en-US" w:eastAsia="zh-CN"/>
        </w:rPr>
        <w:t>核心场景处置指引</w:t>
      </w:r>
      <w:bookmarkEnd w:id="28"/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首要目标：30分钟内恢复核心服务。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关键动作：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确认备份系统状态并执行切换。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启动数据恢复与一致性检查。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验证核心业务功能。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沟通要求：每15分钟向客户及领导小组通报进展。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29" w:name="_Toc7261"/>
      <w:r>
        <w:rPr>
          <w:rFonts w:hint="default"/>
          <w:lang w:val="en-US" w:eastAsia="zh-CN"/>
        </w:rPr>
        <w:t>应急响应流程</w:t>
      </w:r>
      <w:bookmarkEnd w:id="29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30" w:name="_Toc2165"/>
      <w:r>
        <w:rPr>
          <w:rFonts w:hint="default"/>
          <w:lang w:val="en-US" w:eastAsia="zh-CN"/>
        </w:rPr>
        <w:t>总体响应流程</w:t>
      </w:r>
      <w:bookmarkEnd w:id="3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center"/>
        <w:textAlignment w:val="auto"/>
      </w:pPr>
      <w:r>
        <w:drawing>
          <wp:inline distT="0" distB="0" distL="114300" distR="114300">
            <wp:extent cx="4081145" cy="4076700"/>
            <wp:effectExtent l="0" t="0" r="1460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114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bookmarkStart w:id="31" w:name="_Toc12692"/>
      <w:r>
        <w:rPr>
          <w:rFonts w:hint="default"/>
          <w:lang w:val="en-US" w:eastAsia="zh-CN"/>
        </w:rPr>
        <w:t>各阶段详细要求</w:t>
      </w:r>
      <w:bookmarkEnd w:id="31"/>
    </w:p>
    <w:p>
      <w:pPr>
        <w:pStyle w:val="3"/>
        <w:bidi w:val="0"/>
        <w:rPr>
          <w:rFonts w:hint="default"/>
          <w:lang w:val="en-US" w:eastAsia="zh-CN"/>
        </w:rPr>
      </w:pPr>
      <w:bookmarkStart w:id="32" w:name="_Toc1526"/>
      <w:r>
        <w:rPr>
          <w:rFonts w:hint="default"/>
          <w:lang w:val="en-US" w:eastAsia="zh-CN"/>
        </w:rPr>
        <w:t>监测与报告阶段</w:t>
      </w:r>
      <w:bookmarkEnd w:id="32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监测方式：7×24小时监控平台、日志分析、用户反馈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报告渠道：电话、邮件、即时通讯、工单系统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报告内容：事件现象、发生时间、影响范围、初步判断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3" w:name="_Toc4543"/>
      <w:r>
        <w:rPr>
          <w:rFonts w:hint="default"/>
          <w:lang w:val="en-US" w:eastAsia="zh-CN"/>
        </w:rPr>
        <w:t>分析与定级阶段</w:t>
      </w:r>
      <w:bookmarkEnd w:id="3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成立研判小组：技术、业务、安全人员共同参与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使用定级工具：参考风险矩阵与历史案例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明确响应级别：确定响应团队与资源投入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4" w:name="_Toc11013"/>
      <w:r>
        <w:rPr>
          <w:rFonts w:hint="default"/>
          <w:lang w:val="en-US" w:eastAsia="zh-CN"/>
        </w:rPr>
        <w:t>应急处置阶段</w:t>
      </w:r>
      <w:bookmarkEnd w:id="3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首要目标：恢复关键业务，控制影响范围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处置策略：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隔离故障点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启用备份系统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实施临时解决方案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记录要求：详细记录处置过程与操作步骤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5" w:name="_Toc25339"/>
      <w:r>
        <w:rPr>
          <w:rFonts w:hint="default"/>
          <w:lang w:val="en-US" w:eastAsia="zh-CN"/>
        </w:rPr>
        <w:t>恢复与验证阶段</w:t>
      </w:r>
      <w:bookmarkEnd w:id="3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恢复顺序：核心业务→重要业务→一般业务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验证方法：功能测试、性能测试、用户确认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观察期设置：恢复后至少观察24小时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6" w:name="_Toc17073"/>
      <w:r>
        <w:rPr>
          <w:rFonts w:hint="eastAsia"/>
          <w:lang w:val="en-US" w:eastAsia="zh-CN"/>
        </w:rPr>
        <w:t>总结与报告阶段</w:t>
      </w:r>
      <w:bookmarkEnd w:id="36"/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在应急处置结束、系统恢复稳定后，必须进行事件总结，以识别根本原因并推动持续改进。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报告编制：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时限：Ⅰ级事件7个工作日内、Ⅱ级事件10个工作日内、Ⅲ级事件15个工作日内，完成《应急事件总结报告》（附件3）。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内容：需包含事件概述、处置过程时间线、根本原因分析（RCA）、影响评估、改进措施计划及经验教训。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根本原因分析(RCA)：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必须使用系统化方法（如5Why分析法、鱼骨图）追溯至管理、流程或技术的根本原因，而非仅停留于表面现象。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评审与归档：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总结报告需提交应急管理领导小组评审。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评审通过后，报告及所有过程记录由质量部统一归档，并将关键知识提炼后录入公司知识库。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7" w:name="_Toc5112"/>
      <w:r>
        <w:rPr>
          <w:rFonts w:hint="default"/>
          <w:lang w:val="en-US" w:eastAsia="zh-CN"/>
        </w:rPr>
        <w:t>总结改进阶段</w:t>
      </w:r>
      <w:bookmarkEnd w:id="37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根本原因分析：使用5Why、鱼骨图等方法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制定整改措施：技术优化、流程改进、培训加强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更新知识库：将处理经验纳入应急知识库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8" w:name="_Toc31069"/>
      <w:r>
        <w:rPr>
          <w:rFonts w:hint="default"/>
          <w:lang w:val="en-US" w:eastAsia="zh-CN"/>
        </w:rPr>
        <w:t>应急沟通管理机制</w:t>
      </w:r>
      <w:bookmarkEnd w:id="38"/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32307"/>
      <w:r>
        <w:rPr>
          <w:rFonts w:hint="default"/>
          <w:lang w:val="en-US" w:eastAsia="zh-CN"/>
        </w:rPr>
        <w:t>沟通原则</w:t>
      </w:r>
      <w:bookmarkEnd w:id="39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及时性原则：第一时间通报关键信息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准确性原则：确保信息真实、准确、完整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适度性原则：根据受众提供适宜信息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一致性原则：统一口径，避免信息矛盾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0" w:name="_Toc20110"/>
      <w:r>
        <w:rPr>
          <w:rFonts w:hint="default"/>
          <w:lang w:val="en-US" w:eastAsia="zh-CN"/>
        </w:rPr>
        <w:t>信息发布管理</w:t>
      </w:r>
      <w:bookmarkEnd w:id="4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发布渠道：邮件、公告、会议、电话会议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发布内容：事件状态、影响范围、预计恢复时间、处理进展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发布时机：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初始通报：事件确认后30分钟内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进展通报：每2-4小时（根据事件级别）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总结通报：事件解决后24小时内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1" w:name="_Toc1817"/>
      <w:r>
        <w:rPr>
          <w:rFonts w:hint="default"/>
          <w:lang w:val="en-US" w:eastAsia="zh-CN"/>
        </w:rPr>
        <w:t>沟通障碍处理</w:t>
      </w:r>
      <w:bookmarkEnd w:id="4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常见障碍：信息不对称、职责不清、沟通渠道不畅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解决方案：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建立明确的沟通路线图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指定专职沟通协调员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使用标准化沟通模板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定期进行沟通演练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2" w:name="_Toc19986"/>
      <w:r>
        <w:rPr>
          <w:rFonts w:hint="default"/>
          <w:lang w:val="en-US" w:eastAsia="zh-CN"/>
        </w:rPr>
        <w:t>应急保障与资源管理</w:t>
      </w:r>
      <w:bookmarkEnd w:id="42"/>
    </w:p>
    <w:p>
      <w:pPr>
        <w:pStyle w:val="2"/>
        <w:bidi w:val="0"/>
        <w:rPr>
          <w:rFonts w:hint="default"/>
          <w:lang w:val="en-US" w:eastAsia="zh-CN"/>
        </w:rPr>
      </w:pPr>
      <w:bookmarkStart w:id="43" w:name="_Toc7945"/>
      <w:r>
        <w:rPr>
          <w:rFonts w:hint="default"/>
          <w:lang w:val="en-US" w:eastAsia="zh-CN"/>
        </w:rPr>
        <w:t>人力资源保障</w:t>
      </w:r>
      <w:bookmarkEnd w:id="4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应急团队组建：明确各角色AB岗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技能培训：每季度至少一次应急培训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人员调度机制：建立快速响应人员库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4" w:name="_Toc4975"/>
      <w:r>
        <w:rPr>
          <w:rFonts w:hint="default"/>
          <w:lang w:val="en-US" w:eastAsia="zh-CN"/>
        </w:rPr>
        <w:t>技术资源保障</w:t>
      </w:r>
      <w:bookmarkEnd w:id="44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8"/>
        <w:gridCol w:w="4687"/>
        <w:gridCol w:w="2369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配置要求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检查频率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备用设备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关键设备有热备或冷备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每月一次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备份系统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核心系统有异地备份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每周一次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专用应急工具包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文档资料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应急预案、配置文档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更新即检查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5" w:name="_Toc13708"/>
      <w:r>
        <w:rPr>
          <w:rFonts w:hint="default"/>
          <w:lang w:val="en-US" w:eastAsia="zh-CN"/>
        </w:rPr>
        <w:t>物资与后勤保障</w:t>
      </w:r>
      <w:bookmarkEnd w:id="4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应急物资清单：包括硬件、软件、耗材、文档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供应商快速通道：建立优先支持机制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后勤支持：交通、食宿、通讯等保障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6" w:name="_Toc29116"/>
      <w:r>
        <w:rPr>
          <w:rFonts w:hint="default"/>
          <w:lang w:val="en-US" w:eastAsia="zh-CN"/>
        </w:rPr>
        <w:t>应急演练与持续改进</w:t>
      </w:r>
      <w:bookmarkEnd w:id="46"/>
    </w:p>
    <w:p>
      <w:pPr>
        <w:pStyle w:val="2"/>
        <w:bidi w:val="0"/>
        <w:rPr>
          <w:rFonts w:hint="default"/>
          <w:lang w:val="en-US" w:eastAsia="zh-CN"/>
        </w:rPr>
      </w:pPr>
      <w:bookmarkStart w:id="47" w:name="_Toc13380"/>
      <w:r>
        <w:rPr>
          <w:rFonts w:hint="default"/>
          <w:lang w:val="en-US" w:eastAsia="zh-CN"/>
        </w:rPr>
        <w:t>演练计划</w:t>
      </w:r>
      <w:bookmarkEnd w:id="47"/>
    </w:p>
    <w:tbl>
      <w:tblPr>
        <w:tblStyle w:val="TableNormal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3"/>
        <w:gridCol w:w="1656"/>
        <w:gridCol w:w="1584"/>
        <w:gridCol w:w="1788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66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演练类型</w:t>
            </w:r>
          </w:p>
        </w:tc>
        <w:tc>
          <w:tcPr>
            <w:tcW w:w="165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频率</w:t>
            </w:r>
          </w:p>
        </w:tc>
        <w:tc>
          <w:tcPr>
            <w:tcW w:w="15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参与范围</w:t>
            </w:r>
          </w:p>
        </w:tc>
        <w:tc>
          <w:tcPr>
            <w:tcW w:w="178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桌面推演</w:t>
            </w:r>
          </w:p>
        </w:tc>
        <w:tc>
          <w:tcPr>
            <w:tcW w:w="165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</w:t>
            </w:r>
          </w:p>
        </w:tc>
        <w:tc>
          <w:tcPr>
            <w:tcW w:w="15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核心团队</w:t>
            </w:r>
          </w:p>
        </w:tc>
        <w:tc>
          <w:tcPr>
            <w:tcW w:w="178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熟悉流程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专项演练</w:t>
            </w:r>
          </w:p>
        </w:tc>
        <w:tc>
          <w:tcPr>
            <w:tcW w:w="165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每半年</w:t>
            </w:r>
          </w:p>
        </w:tc>
        <w:tc>
          <w:tcPr>
            <w:tcW w:w="15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相关团队</w:t>
            </w:r>
          </w:p>
        </w:tc>
        <w:tc>
          <w:tcPr>
            <w:tcW w:w="178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检验专项能力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66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全面演练</w:t>
            </w:r>
          </w:p>
        </w:tc>
        <w:tc>
          <w:tcPr>
            <w:tcW w:w="165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</w:t>
            </w:r>
          </w:p>
        </w:tc>
        <w:tc>
          <w:tcPr>
            <w:tcW w:w="15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全员参与</w:t>
            </w:r>
          </w:p>
        </w:tc>
        <w:tc>
          <w:tcPr>
            <w:tcW w:w="178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检验整体响应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8" w:name="_Toc11091"/>
      <w:r>
        <w:rPr>
          <w:rFonts w:hint="default"/>
          <w:lang w:val="en-US" w:eastAsia="zh-CN"/>
        </w:rPr>
        <w:t>演练流程</w:t>
      </w:r>
      <w:bookmarkEnd w:id="48"/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策划阶段：制定演练方案，明确场景与目标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准备阶段：准备环境、数据、人员分工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执行阶段：按计划开展演练并记录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评估阶段：评估演练效果，识别问题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hanging="425" w:leftChars="0" w:firstLineChars="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改进阶段：制定改进措施并跟踪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9" w:name="_Toc24160"/>
      <w:r>
        <w:rPr>
          <w:rFonts w:hint="default"/>
          <w:lang w:val="en-US" w:eastAsia="zh-CN"/>
        </w:rPr>
        <w:t>持续改进机制</w:t>
      </w:r>
      <w:bookmarkEnd w:id="49"/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建立完整的“计划-执行-检查-处理”（PDCA）改进闭环：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 (计划)：根据事件总结报告和演练评估报告，制定具体的改进措施，明确责任人与完成时限。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 (执行)：责任人实施改进措施，如流程优化、系统加固、培训开展等。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 (检查)：质量部负责跟踪验证改进措施的完成情况与效果，通过后续事件、演练或专项审计进行检验。</w:t>
      </w:r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 (处理)：将行之有效的措施标准化，纳入制度或预案；未达标的措施转入下一个PDCA循环。</w:t>
      </w:r>
      <w:bookmarkStart w:id="50" w:name="_GoBack"/>
      <w:bookmarkEnd w:id="50"/>
    </w:p>
    <w:p>
      <w:pPr>
        <w:pStyle w:val="2"/>
        <w:bidi w:val="0"/>
        <w:rPr>
          <w:rFonts w:hint="default"/>
          <w:lang w:val="en-US" w:eastAsia="zh-CN"/>
        </w:rPr>
      </w:pPr>
      <w:bookmarkStart w:id="51" w:name="_Toc16380"/>
      <w:r>
        <w:rPr>
          <w:rFonts w:hint="eastAsia"/>
          <w:lang w:val="en-US" w:eastAsia="zh-CN"/>
        </w:rPr>
        <w:t>考核指标</w:t>
      </w:r>
      <w:bookmarkEnd w:id="51"/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70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170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705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705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4" w:type="dxa"/>
            <w:vAlign w:val="center"/>
          </w:tcPr>
          <w:p>
            <w:pPr>
              <w:pStyle w:val="a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704" w:type="dxa"/>
            <w:shd w:val="clear" w:color="auto" w:fill="auto"/>
            <w:vAlign w:val="center"/>
          </w:tcPr>
          <w:p>
            <w:pPr>
              <w:pStyle w:val="TableText"/>
              <w:widowControl w:val="0"/>
              <w:spacing w:before="72" w:line="29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1704" w:type="dxa"/>
            <w:shd w:val="clear" w:color="auto" w:fill="auto"/>
            <w:vAlign w:val="center"/>
          </w:tcPr>
          <w:p>
            <w:pPr>
              <w:pStyle w:val="TableText"/>
              <w:widowControl w:val="0"/>
              <w:spacing w:before="72" w:line="291" w:lineRule="auto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1705" w:type="dxa"/>
            <w:shd w:val="clear" w:color="auto" w:fill="auto"/>
            <w:vAlign w:val="center"/>
          </w:tcPr>
          <w:p>
            <w:pPr>
              <w:pStyle w:val="TableText"/>
              <w:widowControl w:val="0"/>
              <w:spacing w:before="72" w:line="291" w:lineRule="auto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半年</w:t>
            </w:r>
          </w:p>
        </w:tc>
        <w:tc>
          <w:tcPr>
            <w:tcW w:w="1705" w:type="dxa"/>
            <w:vAlign w:val="center"/>
          </w:tcPr>
          <w:p>
            <w:pPr>
              <w:pStyle w:val="TableText"/>
              <w:widowControl w:val="0"/>
              <w:spacing w:before="72" w:line="291" w:lineRule="auto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≥1次</w:t>
            </w:r>
          </w:p>
        </w:tc>
      </w:tr>
    </w:tbl>
    <w:p>
      <w:pPr>
        <w:pStyle w:val="a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52" w:name="_Toc8339"/>
      <w:r>
        <w:rPr>
          <w:rFonts w:hint="default"/>
          <w:lang w:val="en-US" w:eastAsia="zh-CN"/>
        </w:rPr>
        <w:t>附则与附件</w:t>
      </w:r>
      <w:bookmarkEnd w:id="52"/>
    </w:p>
    <w:p>
      <w:pPr>
        <w:pStyle w:val="2"/>
        <w:bidi w:val="0"/>
        <w:rPr>
          <w:rFonts w:hint="default"/>
          <w:lang w:val="en-US" w:eastAsia="zh-CN"/>
        </w:rPr>
      </w:pPr>
      <w:bookmarkStart w:id="53" w:name="_Toc19837"/>
      <w:r>
        <w:rPr>
          <w:rFonts w:hint="default"/>
          <w:lang w:val="en-US" w:eastAsia="zh-CN"/>
        </w:rPr>
        <w:t>制度生效与修订</w:t>
      </w:r>
      <w:bookmarkEnd w:id="5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本制度自发布之日起生效，由运维服务中心负责解释。重大修订需经应急管理领导小组审批。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4" w:name="_Toc32225"/>
      <w:r>
        <w:rPr>
          <w:rFonts w:hint="default"/>
          <w:lang w:val="en-US" w:eastAsia="zh-CN"/>
        </w:rPr>
        <w:t>附件清单</w:t>
      </w:r>
      <w:bookmarkEnd w:id="5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附件1：应急联系人清单模板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附件2：应急事件报告模板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附件3：风险评估表模板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附件4：应急演练记录表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附件5：应急物资清单模板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55" w:name="_Toc7613"/>
      <w:r>
        <w:rPr>
          <w:rFonts w:hint="default"/>
          <w:lang w:val="en-US" w:eastAsia="zh-CN"/>
        </w:rPr>
        <w:t>相关文件</w:t>
      </w:r>
      <w:bookmarkEnd w:id="5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《信息安全管理制度》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《业务连续性计划》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《变更管理流程》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jc w:val="left"/>
        <w:textAlignment w:val="auto"/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snapToGrid w:val="0"/>
          <w:color w:val="000000"/>
          <w:spacing w:val="-5"/>
          <w:kern w:val="0"/>
          <w:sz w:val="24"/>
          <w:szCs w:val="24"/>
          <w:lang w:val="en-US" w:eastAsia="zh-CN" w:bidi="ar-SA"/>
        </w:rPr>
        <w:t>《问题管理流程》</w:t>
      </w:r>
    </w:p>
    <w:sectPr>
      <w:headerReference w:type="default" r:id="rId5"/>
      <w:footerReference w:type="default" r:id="rId6"/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9" w:lineRule="auto"/>
      <w:ind w:left="59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pacing w:val="-5"/>
        <w:sz w:val="18"/>
        <w:szCs w:val="18"/>
      </w:rPr>
      <w:t>34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940B4C6"/>
    <w:multiLevelType w:val="singleLevel"/>
    <w:tmpl w:val="A940B4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4A858B"/>
    <w:multiLevelType w:val="singleLevel"/>
    <w:tmpl w:val="F94A858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EE40971"/>
    <w:multiLevelType w:val="singleLevel"/>
    <w:tmpl w:val="2EE4097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D37DD11"/>
    <w:multiLevelType w:val="singleLevel"/>
    <w:tmpl w:val="4D37DD1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4509EDD"/>
    <w:multiLevelType w:val="singleLevel"/>
    <w:tmpl w:val="54509E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5B190E1"/>
    <w:multiLevelType w:val="singleLevel"/>
    <w:tmpl w:val="55B190E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2"/>
  </w:num>
  <w:num w:numId="5">
    <w:abstractNumId w:val="4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 w:qFormat="1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link w:val="2Char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Indent">
    <w:name w:val="Normal Indent"/>
    <w:basedOn w:val="Normal"/>
    <w:qFormat/>
    <w:pPr>
      <w:ind w:firstLine="420" w:firstLineChars="200"/>
    </w:p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styleId="NoSpacing">
    <w:name w:val="No Spacing"/>
    <w:uiPriority w:val="99"/>
    <w:qFormat/>
    <w:rPr>
      <w:rFonts w:ascii="Calibri" w:eastAsia="宋体" w:hAnsi="Calibri" w:cs="Times New Roman"/>
      <w:sz w:val="22"/>
      <w:szCs w:val="22"/>
      <w:lang w:val="en-US" w:eastAsia="zh-CN" w:bidi="ar-SA"/>
    </w:rPr>
  </w:style>
  <w:style w:type="character" w:customStyle="1" w:styleId="2Char">
    <w:name w:val="标题 2 Char"/>
    <w:link w:val="Heading2"/>
    <w:qFormat/>
    <w:rPr>
      <w:rFonts w:ascii="Arial" w:eastAsia="黑体" w:hAnsi="Arial"/>
      <w:b/>
      <w:sz w:val="32"/>
    </w:rPr>
  </w:style>
  <w:style w:type="paragraph" w:customStyle="1" w:styleId="TableParagraph">
    <w:name w:val="Table Paragraph"/>
    <w:basedOn w:val="Normal"/>
    <w:uiPriority w:val="1"/>
    <w:qFormat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1">
    <w:name w:val="标题 1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4057</Words>
  <Characters>4382</Characters>
  <Application>Microsoft Office Word</Application>
  <DocSecurity>0</DocSecurity>
  <Lines>0</Lines>
  <Paragraphs>0</Paragraphs>
  <ScaleCrop>false</ScaleCrop>
  <Company/>
  <LinksUpToDate>false</LinksUpToDate>
  <CharactersWithSpaces>5011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2025-08-03T15:18:00Z</dcterms:created>
  <dcterms:modified xsi:type="dcterms:W3CDTF">2026-01-08T16:39:55Z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