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pPr>
      <w:bookmarkStart w:id="0" w:name="_Toc25647"/>
      <w:bookmarkStart w:id="1" w:name="_Toc1482"/>
    </w:p>
    <w:p>
      <w:pPr>
        <w:pStyle w:val="a1"/>
        <w:keepNext w:val="0"/>
        <w:keepLines w:val="0"/>
        <w:pageBreakBefore w:val="0"/>
        <w:widowControl w:val="0"/>
        <w:kinsoku w:val="0"/>
        <w:wordWrap/>
        <w:overflowPunct/>
        <w:topLinePunct w:val="0"/>
        <w:autoSpaceDE w:val="0"/>
        <w:autoSpaceDN w:val="0"/>
        <w:bidi w:val="0"/>
        <w:adjustRightInd w:val="0"/>
        <w:snapToGrid w:val="0"/>
      </w:pPr>
      <w:bookmarkStart w:id="2" w:name="_Toc17763"/>
      <w:r>
        <w:t>2025年度</w:t>
      </w:r>
      <w:bookmarkEnd w:id="0"/>
      <w:bookmarkEnd w:id="1"/>
      <w:bookmarkStart w:id="3" w:name="_Toc21173"/>
      <w:bookmarkStart w:id="4" w:name="_Toc2350"/>
      <w:r>
        <w:t>运维服务能力管理计划</w:t>
      </w:r>
      <w:bookmarkEnd w:id="2"/>
      <w:bookmarkEnd w:id="3"/>
      <w:bookmarkEnd w:id="4"/>
    </w:p>
    <w:p>
      <w:pPr>
        <w:pStyle w:val="a2"/>
        <w:keepNext w:val="0"/>
        <w:keepLines w:val="0"/>
        <w:pageBreakBefore w:val="0"/>
        <w:widowControl w:val="0"/>
        <w:kinsoku w:val="0"/>
        <w:wordWrap/>
        <w:overflowPunct/>
        <w:topLinePunct w:val="0"/>
        <w:autoSpaceDE w:val="0"/>
        <w:autoSpaceDN w:val="0"/>
        <w:bidi w:val="0"/>
        <w:adjustRightInd w:val="0"/>
        <w:snapToGrid w:val="0"/>
      </w:pPr>
      <w:bookmarkStart w:id="5" w:name="_Toc21508"/>
      <w:r>
        <w:t>中达丰集团有限公司</w:t>
      </w:r>
      <w:bookmarkEnd w:id="5"/>
    </w:p>
    <w:p>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925"/>
        <w:rPr>
          <w:rFonts w:ascii="宋体" w:eastAsia="宋体" w:hAnsi="宋体" w:cs="宋体"/>
          <w:sz w:val="36"/>
          <w:szCs w:val="36"/>
        </w:rPr>
      </w:pPr>
      <w:r>
        <w:rPr>
          <w:rFonts w:ascii="宋体" w:eastAsia="宋体" w:hAnsi="宋体" w:cs="宋体"/>
          <w:spacing w:val="-12"/>
          <w:sz w:val="36"/>
          <w:szCs w:val="36"/>
        </w:rPr>
        <w:t>2025年</w:t>
      </w:r>
      <w:r>
        <w:rPr>
          <w:rFonts w:ascii="宋体" w:eastAsia="宋体" w:hAnsi="宋体" w:cs="宋体"/>
          <w:spacing w:val="-48"/>
          <w:sz w:val="36"/>
          <w:szCs w:val="36"/>
        </w:rPr>
        <w:t xml:space="preserve"> </w:t>
      </w:r>
      <w:r>
        <w:rPr>
          <w:rFonts w:ascii="宋体" w:eastAsia="宋体" w:hAnsi="宋体" w:cs="宋体"/>
          <w:spacing w:val="-12"/>
          <w:sz w:val="36"/>
          <w:szCs w:val="36"/>
        </w:rPr>
        <w:t>1</w:t>
      </w:r>
      <w:r>
        <w:rPr>
          <w:rFonts w:ascii="宋体" w:eastAsia="宋体" w:hAnsi="宋体" w:cs="宋体"/>
          <w:spacing w:val="-67"/>
          <w:sz w:val="36"/>
          <w:szCs w:val="36"/>
        </w:rPr>
        <w:t xml:space="preserve"> </w:t>
      </w:r>
      <w:r>
        <w:rPr>
          <w:rFonts w:ascii="宋体" w:eastAsia="宋体" w:hAnsi="宋体" w:cs="宋体"/>
          <w:spacing w:val="-12"/>
          <w:sz w:val="36"/>
          <w:szCs w:val="36"/>
        </w:rPr>
        <w:t>月</w:t>
      </w:r>
      <w:r>
        <w:rPr>
          <w:rFonts w:ascii="宋体" w:eastAsia="宋体" w:hAnsi="宋体" w:cs="宋体"/>
          <w:spacing w:val="-69"/>
          <w:sz w:val="36"/>
          <w:szCs w:val="36"/>
        </w:rPr>
        <w:t xml:space="preserve"> </w:t>
      </w:r>
      <w:r>
        <w:rPr>
          <w:rFonts w:ascii="宋体" w:eastAsia="宋体" w:hAnsi="宋体" w:cs="宋体"/>
          <w:spacing w:val="-12"/>
          <w:sz w:val="36"/>
          <w:szCs w:val="36"/>
        </w:rPr>
        <w:t>3 日</w:t>
      </w:r>
    </w:p>
    <w:p>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宋体" w:eastAsia="宋体" w:hAnsi="宋体" w:cs="宋体"/>
          <w:sz w:val="36"/>
          <w:szCs w:val="36"/>
        </w:rPr>
        <w:sectPr>
          <w:pgSz w:w="11906" w:h="16839"/>
          <w:pgMar w:top="1431" w:right="1785" w:bottom="0" w:left="1785" w:header="0" w:footer="0"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3794"/>
        <w:outlineLvl w:val="0"/>
        <w:rPr>
          <w:rFonts w:ascii="宋体" w:eastAsia="宋体" w:hAnsi="宋体" w:cs="宋体"/>
          <w:sz w:val="20"/>
          <w:szCs w:val="20"/>
        </w:rPr>
      </w:pPr>
      <w:bookmarkStart w:id="6" w:name="_Toc2932"/>
      <w:bookmarkStart w:id="7" w:name="_Toc4208"/>
      <w:bookmarkStart w:id="8" w:name="_Toc16104"/>
      <w:r>
        <w:rPr>
          <w:rFonts w:ascii="宋体" w:eastAsia="宋体" w:hAnsi="宋体" w:cs="宋体"/>
          <w:spacing w:val="-2"/>
          <w:sz w:val="20"/>
          <w:szCs w:val="20"/>
        </w:rPr>
        <w:t>文档信息</w:t>
      </w:r>
      <w:bookmarkEnd w:id="6"/>
      <w:bookmarkEnd w:id="7"/>
      <w:bookmarkEnd w:id="8"/>
    </w:p>
    <w:p>
      <w:pPr>
        <w:keepNext w:val="0"/>
        <w:keepLines w:val="0"/>
        <w:pageBreakBefore w:val="0"/>
        <w:widowControl w:val="0"/>
        <w:kinsoku w:val="0"/>
        <w:wordWrap/>
        <w:overflowPunct/>
        <w:topLinePunct w:val="0"/>
        <w:autoSpaceDE w:val="0"/>
        <w:autoSpaceDN w:val="0"/>
        <w:bidi w:val="0"/>
        <w:adjustRightInd w:val="0"/>
        <w:snapToGrid w:val="0"/>
        <w:spacing w:before="228"/>
      </w:pPr>
    </w:p>
    <w:tbl>
      <w:tblPr>
        <w:tblStyle w:val="TableNormal0"/>
        <w:tblW w:w="822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63"/>
        <w:gridCol w:w="1696"/>
        <w:gridCol w:w="2302"/>
        <w:gridCol w:w="1557"/>
        <w:gridCol w:w="1104"/>
      </w:tblGrid>
      <w:tr>
        <w:tblPrEx>
          <w:tblW w:w="822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2"/>
            </w:pPr>
            <w:r>
              <w:rPr>
                <w:spacing w:val="-2"/>
              </w:rPr>
              <w:t>文档名称编号</w:t>
            </w:r>
          </w:p>
        </w:tc>
        <w:tc>
          <w:tcPr>
            <w:tcW w:w="6659"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0"/>
            </w:pPr>
            <w:r>
              <w:rPr>
                <w:spacing w:val="-1"/>
              </w:rPr>
              <w:t>202</w:t>
            </w:r>
            <w:r>
              <w:rPr>
                <w:rFonts w:hint="eastAsia"/>
                <w:spacing w:val="-1"/>
                <w:lang w:val="en-US" w:eastAsia="zh-CN"/>
              </w:rPr>
              <w:t>5</w:t>
            </w:r>
            <w:r>
              <w:rPr>
                <w:spacing w:val="-29"/>
              </w:rPr>
              <w:t xml:space="preserve"> </w:t>
            </w:r>
            <w:r>
              <w:rPr>
                <w:spacing w:val="-1"/>
              </w:rPr>
              <w:t>年度运维服务能力管理计划（ZDFJT-ITSS-FWNLGLPL）</w:t>
            </w:r>
          </w:p>
        </w:tc>
      </w:tr>
      <w:tr>
        <w:tblPrEx>
          <w:tblW w:w="8222" w:type="dxa"/>
          <w:tblInd w:w="28" w:type="dxa"/>
          <w:tblLayout w:type="fixed"/>
          <w:tblCellMar>
            <w:top w:w="0" w:type="dxa"/>
            <w:left w:w="0" w:type="dxa"/>
            <w:bottom w:w="0" w:type="dxa"/>
            <w:right w:w="0" w:type="dxa"/>
          </w:tblCellMar>
        </w:tblPrEx>
        <w:trPr>
          <w:trHeight w:val="606"/>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12"/>
            </w:pPr>
            <w:r>
              <w:rPr>
                <w:spacing w:val="-2"/>
              </w:rPr>
              <w:t>编制单位</w:t>
            </w:r>
          </w:p>
        </w:tc>
        <w:tc>
          <w:tcPr>
            <w:tcW w:w="6659"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pPr>
            <w:r>
              <w:rPr>
                <w:spacing w:val="-1"/>
              </w:rPr>
              <w:t>中达丰集团有限公司</w:t>
            </w:r>
          </w:p>
        </w:tc>
      </w:tr>
      <w:tr>
        <w:tblPrEx>
          <w:tblW w:w="8222" w:type="dxa"/>
          <w:tblInd w:w="28" w:type="dxa"/>
          <w:tblLayout w:type="fixed"/>
          <w:tblCellMar>
            <w:top w:w="0" w:type="dxa"/>
            <w:left w:w="0" w:type="dxa"/>
            <w:bottom w:w="0" w:type="dxa"/>
            <w:right w:w="0" w:type="dxa"/>
          </w:tblCellMar>
        </w:tblPrEx>
        <w:trPr>
          <w:trHeight w:val="606"/>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2"/>
            </w:pPr>
            <w:r>
              <w:rPr>
                <w:spacing w:val="-2"/>
              </w:rPr>
              <w:t>文档版本</w:t>
            </w: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09"/>
            </w:pPr>
            <w:r>
              <w:rPr>
                <w:spacing w:val="-2"/>
              </w:rPr>
              <w:t>版本日期</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1"/>
            </w:pPr>
            <w:r>
              <w:rPr>
                <w:spacing w:val="-2"/>
              </w:rPr>
              <w:t>版本说明</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4"/>
            </w:pPr>
            <w:r>
              <w:rPr>
                <w:spacing w:val="-3"/>
              </w:rPr>
              <w:t>作者</w:t>
            </w:r>
          </w:p>
        </w:tc>
        <w:tc>
          <w:tcPr>
            <w:tcW w:w="11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25"/>
            </w:pPr>
            <w:r>
              <w:rPr>
                <w:spacing w:val="-5"/>
              </w:rPr>
              <w:t>审核</w:t>
            </w:r>
          </w:p>
        </w:tc>
      </w:tr>
      <w:tr>
        <w:tblPrEx>
          <w:tblW w:w="8222" w:type="dxa"/>
          <w:tblInd w:w="28" w:type="dxa"/>
          <w:tblLayout w:type="fixed"/>
          <w:tblCellMar>
            <w:top w:w="0" w:type="dxa"/>
            <w:left w:w="0" w:type="dxa"/>
            <w:bottom w:w="0" w:type="dxa"/>
            <w:right w:w="0" w:type="dxa"/>
          </w:tblCellMar>
        </w:tblPrEx>
        <w:trPr>
          <w:trHeight w:val="474"/>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0" w:line="239" w:lineRule="auto"/>
              <w:ind w:left="106"/>
            </w:pPr>
            <w:r>
              <w:rPr>
                <w:spacing w:val="-1"/>
              </w:rPr>
              <w:t>V1.0</w:t>
            </w: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9"/>
              <w:ind w:left="110"/>
            </w:pPr>
            <w:r>
              <w:rPr>
                <w:spacing w:val="-2"/>
              </w:rPr>
              <w:t>2025-1-3</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113"/>
            </w:pPr>
            <w:r>
              <w:rPr>
                <w:spacing w:val="-3"/>
              </w:rPr>
              <w:t>发布版本</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16"/>
            </w:pPr>
            <w:r>
              <w:rPr>
                <w:spacing w:val="-3"/>
              </w:rPr>
              <w:t>肖龙莽</w:t>
            </w:r>
          </w:p>
        </w:tc>
        <w:tc>
          <w:tcPr>
            <w:tcW w:w="11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20"/>
            </w:pPr>
            <w:r>
              <w:rPr>
                <w:spacing w:val="-3"/>
              </w:rPr>
              <w:t>吴向阳</w:t>
            </w:r>
          </w:p>
        </w:tc>
      </w:tr>
      <w:tr>
        <w:tblPrEx>
          <w:tblW w:w="8222" w:type="dxa"/>
          <w:tblInd w:w="28" w:type="dxa"/>
          <w:tblLayout w:type="fixed"/>
          <w:tblCellMar>
            <w:top w:w="0" w:type="dxa"/>
            <w:left w:w="0" w:type="dxa"/>
            <w:bottom w:w="0" w:type="dxa"/>
            <w:right w:w="0" w:type="dxa"/>
          </w:tblCellMar>
        </w:tblPrEx>
        <w:trPr>
          <w:trHeight w:val="527"/>
        </w:trPr>
        <w:tc>
          <w:tcPr>
            <w:tcW w:w="1563"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tblPrEx>
          <w:tblW w:w="8222" w:type="dxa"/>
          <w:tblInd w:w="28" w:type="dxa"/>
          <w:tblLayout w:type="fixed"/>
          <w:tblCellMar>
            <w:top w:w="0" w:type="dxa"/>
            <w:left w:w="0" w:type="dxa"/>
            <w:bottom w:w="0" w:type="dxa"/>
            <w:right w:w="0" w:type="dxa"/>
          </w:tblCellMar>
        </w:tblPrEx>
        <w:trPr>
          <w:trHeight w:val="588"/>
        </w:trPr>
        <w:tc>
          <w:tcPr>
            <w:tcW w:w="1563"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tblPrEx>
          <w:tblW w:w="8222" w:type="dxa"/>
          <w:tblInd w:w="28" w:type="dxa"/>
          <w:tblLayout w:type="fixed"/>
          <w:tblCellMar>
            <w:top w:w="0" w:type="dxa"/>
            <w:left w:w="0" w:type="dxa"/>
            <w:bottom w:w="0" w:type="dxa"/>
            <w:right w:w="0" w:type="dxa"/>
          </w:tblCellMar>
        </w:tblPrEx>
        <w:trPr>
          <w:trHeight w:val="588"/>
        </w:trPr>
        <w:tc>
          <w:tcPr>
            <w:tcW w:w="1563"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bl>
    <w:p>
      <w:pPr>
        <w:pStyle w:val="BodyText"/>
        <w:keepNext w:val="0"/>
        <w:keepLines w:val="0"/>
        <w:pageBreakBefore w:val="0"/>
        <w:widowControl w:val="0"/>
        <w:kinsoku w:val="0"/>
        <w:wordWrap/>
        <w:overflowPunct/>
        <w:topLinePunct w:val="0"/>
        <w:autoSpaceDE w:val="0"/>
        <w:autoSpaceDN w:val="0"/>
        <w:bidi w:val="0"/>
        <w:adjustRightInd w:val="0"/>
        <w:snapToGrid w:val="0"/>
      </w:pPr>
    </w:p>
    <w:p>
      <w:pPr>
        <w:keepNext w:val="0"/>
        <w:keepLines w:val="0"/>
        <w:pageBreakBefore w:val="0"/>
        <w:widowControl w:val="0"/>
        <w:kinsoku w:val="0"/>
        <w:wordWrap/>
        <w:overflowPunct/>
        <w:topLinePunct w:val="0"/>
        <w:autoSpaceDE w:val="0"/>
        <w:autoSpaceDN w:val="0"/>
        <w:bidi w:val="0"/>
        <w:adjustRightInd w:val="0"/>
        <w:snapToGrid w:val="0"/>
        <w:sectPr>
          <w:footerReference w:type="default" r:id="rId5"/>
          <w:pgSz w:w="11906" w:h="16839"/>
          <w:pgMar w:top="1349" w:right="1767" w:bottom="1223" w:left="1768" w:header="0" w:footer="1218" w:gutter="0"/>
          <w:cols w:num="1" w:space="720"/>
        </w:sectPr>
      </w:pPr>
    </w:p>
    <w:sdt>
      <w:sdtPr>
        <w:rPr>
          <w:rFonts w:ascii="宋体" w:eastAsia="宋体" w:hAnsi="宋体" w:cs="Arial"/>
          <w:snapToGrid w:val="0"/>
          <w:color w:val="000000"/>
          <w:kern w:val="0"/>
          <w:sz w:val="21"/>
          <w:szCs w:val="21"/>
          <w:lang w:val="en-US" w:eastAsia="en-US" w:bidi="ar-SA"/>
        </w:rPr>
        <w:id w:val="147466092"/>
        <w:docPartObj>
          <w:docPartGallery w:val="Table of Contents"/>
          <w:docPartUnique/>
        </w:docPartObj>
      </w:sdtPr>
      <w:sdtEndPr>
        <w:rPr>
          <w:rFonts w:ascii="Microsoft JhengHei" w:eastAsia="Microsoft JhengHei" w:hAnsi="Microsoft JhengHei" w:cs="Microsoft JhengHei" w:hint="eastAsia"/>
          <w:snapToGrid w:val="0"/>
          <w:color w:val="000000"/>
          <w:kern w:val="0"/>
          <w:sz w:val="21"/>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8371"/>
            </w:tabs>
          </w:pPr>
          <w:r>
            <w:rPr>
              <w:rFonts w:ascii="Microsoft JhengHei" w:eastAsia="Microsoft JhengHei" w:hAnsi="Microsoft JhengHei" w:cs="Microsoft JhengHei" w:hint="eastAsia"/>
              <w:snapToGrid w:val="0"/>
              <w:color w:val="000000"/>
              <w:kern w:val="0"/>
              <w:sz w:val="24"/>
              <w:szCs w:val="24"/>
              <w:lang w:val="en-US" w:eastAsia="en-US" w:bidi="ar-SA"/>
            </w:rPr>
            <w:fldChar w:fldCharType="begin"/>
          </w:r>
          <w:r>
            <w:rPr>
              <w:rFonts w:ascii="Microsoft JhengHei" w:eastAsia="Microsoft JhengHei" w:hAnsi="Microsoft JhengHei" w:cs="Microsoft JhengHei" w:hint="eastAsia"/>
              <w:snapToGrid w:val="0"/>
              <w:color w:val="000000"/>
              <w:kern w:val="0"/>
              <w:sz w:val="24"/>
              <w:szCs w:val="24"/>
              <w:lang w:val="en-US" w:eastAsia="en-US" w:bidi="ar-SA"/>
            </w:rPr>
            <w:instrText xml:space="preserve">TOC \o "1-3" \h \u </w:instrText>
          </w:r>
          <w:r>
            <w:rPr>
              <w:rFonts w:ascii="Microsoft JhengHei" w:eastAsia="Microsoft JhengHei" w:hAnsi="Microsoft JhengHei" w:cs="Microsoft JhengHei" w:hint="eastAsia"/>
              <w:snapToGrid w:val="0"/>
              <w:color w:val="000000"/>
              <w:kern w:val="0"/>
              <w:sz w:val="24"/>
              <w:szCs w:val="24"/>
              <w:lang w:val="en-US" w:eastAsia="en-US" w:bidi="ar-SA"/>
            </w:rPr>
            <w:fldChar w:fldCharType="separate"/>
          </w: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_Toc17763 </w:instrText>
          </w:r>
          <w:r>
            <w:rPr>
              <w:rFonts w:ascii="Microsoft JhengHei" w:eastAsia="Microsoft JhengHei" w:hAnsi="Microsoft JhengHei" w:cs="Microsoft JhengHei" w:hint="eastAsia"/>
              <w:snapToGrid w:val="0"/>
              <w:kern w:val="0"/>
              <w:szCs w:val="24"/>
              <w:lang w:val="en-US" w:eastAsia="en-US" w:bidi="ar-SA"/>
            </w:rPr>
            <w:fldChar w:fldCharType="separate"/>
          </w:r>
          <w:r>
            <w:t>2025年度运维服务能力管理计划</w:t>
          </w:r>
          <w:r>
            <w:tab/>
          </w:r>
          <w:r>
            <w:fldChar w:fldCharType="begin"/>
          </w:r>
          <w:r>
            <w:instrText xml:space="preserve"> PAGEREF _Toc17763 \h </w:instrText>
          </w:r>
          <w:r>
            <w:fldChar w:fldCharType="separate"/>
          </w:r>
          <w:r>
            <w:t>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_Toc21508 </w:instrText>
          </w:r>
          <w:r>
            <w:rPr>
              <w:rFonts w:ascii="Microsoft JhengHei" w:eastAsia="Microsoft JhengHei" w:hAnsi="Microsoft JhengHei" w:cs="Microsoft JhengHei" w:hint="eastAsia"/>
              <w:snapToGrid w:val="0"/>
              <w:kern w:val="0"/>
              <w:szCs w:val="24"/>
              <w:lang w:val="en-US" w:eastAsia="en-US" w:bidi="ar-SA"/>
            </w:rPr>
            <w:fldChar w:fldCharType="separate"/>
          </w:r>
          <w:r>
            <w:t>中达丰集团有限公司</w:t>
          </w:r>
          <w:r>
            <w:tab/>
          </w:r>
          <w:r>
            <w:fldChar w:fldCharType="begin"/>
          </w:r>
          <w:r>
            <w:instrText xml:space="preserve"> PAGEREF _Toc21508 \h </w:instrText>
          </w:r>
          <w:r>
            <w:fldChar w:fldCharType="separate"/>
          </w:r>
          <w:r>
            <w:t>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_Toc16104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ascii="宋体" w:eastAsia="宋体" w:hAnsi="宋体" w:cs="宋体"/>
              <w:spacing w:val="-2"/>
              <w:szCs w:val="20"/>
            </w:rPr>
            <w:t>文档信息</w:t>
          </w:r>
          <w:r>
            <w:tab/>
          </w:r>
          <w:r>
            <w:fldChar w:fldCharType="begin"/>
          </w:r>
          <w:r>
            <w:instrText xml:space="preserve"> PAGEREF _Toc16104 \h </w:instrText>
          </w:r>
          <w:r>
            <w:fldChar w:fldCharType="separate"/>
          </w:r>
          <w:r>
            <w:t>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_Toc16981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1. </w:t>
          </w:r>
          <w:r>
            <w:t>概要说明</w:t>
          </w:r>
          <w:r>
            <w:tab/>
          </w:r>
          <w:r>
            <w:fldChar w:fldCharType="begin"/>
          </w:r>
          <w:r>
            <w:instrText xml:space="preserve"> PAGEREF _Toc16981 \h </w:instrText>
          </w:r>
          <w:r>
            <w:fldChar w:fldCharType="separate"/>
          </w:r>
          <w:r>
            <w:t>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_Toc4722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2. </w:t>
          </w:r>
          <w:r>
            <w:t>年度目标</w:t>
          </w:r>
          <w:r>
            <w:tab/>
          </w:r>
          <w:r>
            <w:fldChar w:fldCharType="begin"/>
          </w:r>
          <w:r>
            <w:instrText xml:space="preserve"> PAGEREF _Toc4722 \h </w:instrText>
          </w:r>
          <w:r>
            <w:fldChar w:fldCharType="separate"/>
          </w:r>
          <w:r>
            <w:t>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_Toc24292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 </w:t>
          </w:r>
          <w:r>
            <w:t>人员方面</w:t>
          </w:r>
          <w:r>
            <w:tab/>
          </w:r>
          <w:r>
            <w:fldChar w:fldCharType="begin"/>
          </w:r>
          <w:r>
            <w:instrText xml:space="preserve"> PAGEREF _Toc24292 \h </w:instrText>
          </w:r>
          <w:r>
            <w:fldChar w:fldCharType="separate"/>
          </w:r>
          <w:r>
            <w:t>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_Toc8034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3.1. </w:t>
          </w:r>
          <w:r>
            <w:t>现状分析</w:t>
          </w:r>
          <w:r>
            <w:tab/>
          </w:r>
          <w:r>
            <w:fldChar w:fldCharType="begin"/>
          </w:r>
          <w:r>
            <w:instrText xml:space="preserve"> PAGEREF _Toc8034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_Toc6106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3.2. </w:t>
          </w:r>
          <w:r>
            <w:rPr>
              <w:rFonts w:hint="eastAsia"/>
              <w:lang w:val="en-US" w:eastAsia="zh-CN"/>
            </w:rPr>
            <w:t>改进目标</w:t>
          </w:r>
          <w:r>
            <w:tab/>
          </w:r>
          <w:r>
            <w:fldChar w:fldCharType="begin"/>
          </w:r>
          <w:r>
            <w:instrText xml:space="preserve"> PAGEREF _Toc6106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_Toc15944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 </w:t>
          </w:r>
          <w:r>
            <w:rPr>
              <w:rFonts w:hint="eastAsia"/>
              <w:lang w:val="en-US" w:eastAsia="zh-CN"/>
            </w:rPr>
            <w:t>实施计划</w:t>
          </w:r>
          <w:r>
            <w:tab/>
          </w:r>
          <w:r>
            <w:fldChar w:fldCharType="begin"/>
          </w:r>
          <w:r>
            <w:instrText xml:space="preserve"> PAGEREF _Toc15944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_Toc8815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3.3.1. </w:t>
          </w:r>
          <w:r>
            <w:t>人员</w:t>
          </w:r>
          <w:r>
            <w:rPr>
              <w:rFonts w:hint="eastAsia"/>
              <w:lang w:val="en-US" w:eastAsia="zh-CN"/>
            </w:rPr>
            <w:t>招聘</w:t>
          </w:r>
          <w:r>
            <w:tab/>
          </w:r>
          <w:r>
            <w:fldChar w:fldCharType="begin"/>
          </w:r>
          <w:r>
            <w:instrText xml:space="preserve"> PAGEREF _Toc8815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_Toc6872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3.3.2. </w:t>
          </w:r>
          <w:r>
            <w:rPr>
              <w:rFonts w:hint="eastAsia"/>
              <w:lang w:val="en-US" w:eastAsia="zh-CN"/>
            </w:rPr>
            <w:t>人员储备计划</w:t>
          </w:r>
          <w:r>
            <w:tab/>
          </w:r>
          <w:r>
            <w:fldChar w:fldCharType="begin"/>
          </w:r>
          <w:r>
            <w:instrText xml:space="preserve"> PAGEREF _Toc6872 \h </w:instrText>
          </w:r>
          <w:r>
            <w:fldChar w:fldCharType="separate"/>
          </w:r>
          <w:r>
            <w:t>6</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_Toc373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3.3.3. </w:t>
          </w:r>
          <w:r>
            <w:t>人员培训</w:t>
          </w:r>
          <w:r>
            <w:tab/>
          </w:r>
          <w:r>
            <w:fldChar w:fldCharType="begin"/>
          </w:r>
          <w:r>
            <w:instrText xml:space="preserve"> PAGEREF _Toc373 \h </w:instrText>
          </w:r>
          <w:r>
            <w:fldChar w:fldCharType="separate"/>
          </w:r>
          <w:r>
            <w:t>7</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_Toc25281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3.3.4. </w:t>
          </w:r>
          <w:r>
            <w:rPr>
              <w:rFonts w:hint="eastAsia"/>
              <w:lang w:val="en-US" w:eastAsia="zh-CN"/>
            </w:rPr>
            <w:t>备份计划</w:t>
          </w:r>
          <w:r>
            <w:tab/>
          </w:r>
          <w:r>
            <w:fldChar w:fldCharType="begin"/>
          </w:r>
          <w:r>
            <w:instrText xml:space="preserve"> PAGEREF _Toc25281 \h </w:instrText>
          </w:r>
          <w:r>
            <w:fldChar w:fldCharType="separate"/>
          </w:r>
          <w:r>
            <w:t>8</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_Toc12641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3.3.5. </w:t>
          </w:r>
          <w:r>
            <w:t>绩效考核</w:t>
          </w:r>
          <w:r>
            <w:tab/>
          </w:r>
          <w:r>
            <w:fldChar w:fldCharType="begin"/>
          </w:r>
          <w:r>
            <w:instrText xml:space="preserve"> PAGEREF _Toc12641 \h </w:instrText>
          </w:r>
          <w:r>
            <w:fldChar w:fldCharType="separate"/>
          </w:r>
          <w:r>
            <w:t>8</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_Toc6180 </w:instrText>
          </w:r>
          <w:r>
            <w:rPr>
              <w:rFonts w:ascii="Microsoft JhengHei" w:eastAsia="Microsoft JhengHei" w:hAnsi="Microsoft JhengHei" w:cs="Microsoft JhengHei" w:hint="eastAsia"/>
              <w:snapToGrid w:val="0"/>
              <w:kern w:val="0"/>
              <w:szCs w:val="24"/>
              <w:lang w:val="en-US" w:eastAsia="en-US" w:bidi="ar-SA"/>
            </w:rPr>
            <w:fldChar w:fldCharType="separate"/>
          </w:r>
          <w:r>
            <w:rPr>
              <w:szCs w:val="24"/>
            </w:rPr>
            <w:t>3</w:t>
          </w:r>
          <w:r>
            <w:tab/>
          </w:r>
          <w:r>
            <w:fldChar w:fldCharType="begin"/>
          </w:r>
          <w:r>
            <w:instrText xml:space="preserve"> PAGEREF _Toc6180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_Toc11623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3.3.6. </w:t>
          </w:r>
          <w:r>
            <w:rPr>
              <w:rFonts w:hint="eastAsia"/>
              <w:lang w:val="en-US" w:eastAsia="zh-CN"/>
            </w:rPr>
            <w:t>技能评价</w:t>
          </w:r>
          <w:r>
            <w:tab/>
          </w:r>
          <w:r>
            <w:fldChar w:fldCharType="begin"/>
          </w:r>
          <w:r>
            <w:instrText xml:space="preserve"> PAGEREF _Toc11623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_Toc3244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 </w:t>
          </w:r>
          <w:r>
            <w:t>资源方面</w:t>
          </w:r>
          <w:r>
            <w:tab/>
          </w:r>
          <w:r>
            <w:fldChar w:fldCharType="begin"/>
          </w:r>
          <w:r>
            <w:instrText xml:space="preserve"> PAGEREF _Toc3244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_Toc24225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4.1. </w:t>
          </w:r>
          <w:r>
            <w:t>现状分析</w:t>
          </w:r>
          <w:r>
            <w:tab/>
          </w:r>
          <w:r>
            <w:fldChar w:fldCharType="begin"/>
          </w:r>
          <w:r>
            <w:instrText xml:space="preserve"> PAGEREF _Toc24225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_Toc29348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 </w:t>
          </w:r>
          <w:r>
            <w:rPr>
              <w:rFonts w:hint="eastAsia"/>
              <w:lang w:val="en-US" w:eastAsia="zh-CN"/>
            </w:rPr>
            <w:t>改进目标</w:t>
          </w:r>
          <w:r>
            <w:tab/>
          </w:r>
          <w:r>
            <w:fldChar w:fldCharType="begin"/>
          </w:r>
          <w:r>
            <w:instrText xml:space="preserve"> PAGEREF _Toc29348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_Toc19811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4.2.1. </w:t>
          </w:r>
          <w:r>
            <w:t>运维工具</w:t>
          </w:r>
          <w:r>
            <w:tab/>
          </w:r>
          <w:r>
            <w:fldChar w:fldCharType="begin"/>
          </w:r>
          <w:r>
            <w:instrText xml:space="preserve"> PAGEREF _Toc19811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_Toc7036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4.2.2. </w:t>
          </w:r>
          <w:r>
            <w:t>服务台建设</w:t>
          </w:r>
          <w:r>
            <w:tab/>
          </w:r>
          <w:r>
            <w:fldChar w:fldCharType="begin"/>
          </w:r>
          <w:r>
            <w:instrText xml:space="preserve"> PAGEREF _Toc7036 \h </w:instrText>
          </w:r>
          <w:r>
            <w:fldChar w:fldCharType="separate"/>
          </w:r>
          <w:r>
            <w:t>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_Toc28193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4.2.3. </w:t>
          </w:r>
          <w:r>
            <w:t>备品备件</w:t>
          </w:r>
          <w:r>
            <w:tab/>
          </w:r>
          <w:r>
            <w:fldChar w:fldCharType="begin"/>
          </w:r>
          <w:r>
            <w:instrText xml:space="preserve"> PAGEREF _Toc28193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_Toc30609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4.2.4. </w:t>
          </w:r>
          <w:r>
            <w:t>知识库</w:t>
          </w:r>
          <w:r>
            <w:tab/>
          </w:r>
          <w:r>
            <w:fldChar w:fldCharType="begin"/>
          </w:r>
          <w:r>
            <w:instrText xml:space="preserve"> PAGEREF _Toc30609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_Toc28309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4.2.5. </w:t>
          </w:r>
          <w:r>
            <w:rPr>
              <w:rFonts w:hint="eastAsia"/>
              <w:lang w:val="en-US" w:eastAsia="zh-CN"/>
            </w:rPr>
            <w:t>最终软件库</w:t>
          </w:r>
          <w:r>
            <w:tab/>
          </w:r>
          <w:r>
            <w:fldChar w:fldCharType="begin"/>
          </w:r>
          <w:r>
            <w:instrText xml:space="preserve"> PAGEREF _Toc28309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_Toc18752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_Toc18752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_Toc19718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4.3. </w:t>
          </w:r>
          <w:r>
            <w:rPr>
              <w:rFonts w:hint="eastAsia"/>
              <w:lang w:val="en-US" w:eastAsia="zh-CN"/>
            </w:rPr>
            <w:t>实施计划</w:t>
          </w:r>
          <w:r>
            <w:tab/>
          </w:r>
          <w:r>
            <w:fldChar w:fldCharType="begin"/>
          </w:r>
          <w:r>
            <w:instrText xml:space="preserve"> PAGEREF _Toc19718 \h </w:instrText>
          </w:r>
          <w:r>
            <w:fldChar w:fldCharType="separate"/>
          </w:r>
          <w:r>
            <w:t>10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_Toc19852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5. </w:t>
          </w:r>
          <w:r>
            <w:t>技术方面</w:t>
          </w:r>
          <w:r>
            <w:tab/>
          </w:r>
          <w:r>
            <w:fldChar w:fldCharType="begin"/>
          </w:r>
          <w:r>
            <w:instrText xml:space="preserve"> PAGEREF _Toc19852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_Toc4835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5.1. </w:t>
          </w:r>
          <w:r>
            <w:t>现状分析</w:t>
          </w:r>
          <w:r>
            <w:tab/>
          </w:r>
          <w:r>
            <w:fldChar w:fldCharType="begin"/>
          </w:r>
          <w:r>
            <w:instrText xml:space="preserve"> PAGEREF _Toc4835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_Toc28374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5.2. </w:t>
          </w:r>
          <w:r>
            <w:rPr>
              <w:rFonts w:hint="eastAsia"/>
              <w:lang w:val="en-US" w:eastAsia="zh-CN"/>
            </w:rPr>
            <w:t>改进目标</w:t>
          </w:r>
          <w:r>
            <w:tab/>
          </w:r>
          <w:r>
            <w:fldChar w:fldCharType="begin"/>
          </w:r>
          <w:r>
            <w:instrText xml:space="preserve"> PAGEREF _Toc28374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_Toc5386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5.3. </w:t>
          </w:r>
          <w:r>
            <w:rPr>
              <w:rFonts w:hint="eastAsia"/>
              <w:lang w:val="en-US" w:eastAsia="zh-CN"/>
            </w:rPr>
            <w:t>实施计划</w:t>
          </w:r>
          <w:r>
            <w:tab/>
          </w:r>
          <w:r>
            <w:fldChar w:fldCharType="begin"/>
          </w:r>
          <w:r>
            <w:instrText xml:space="preserve"> PAGEREF _Toc5386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_Toc31354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 </w:t>
          </w:r>
          <w:r>
            <w:t>过程体系方面</w:t>
          </w:r>
          <w:r>
            <w:tab/>
          </w:r>
          <w:r>
            <w:fldChar w:fldCharType="begin"/>
          </w:r>
          <w:r>
            <w:instrText xml:space="preserve"> PAGEREF _Toc31354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_Toc28531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6.1. </w:t>
          </w:r>
          <w:r>
            <w:t>现状分析</w:t>
          </w:r>
          <w:r>
            <w:tab/>
          </w:r>
          <w:r>
            <w:fldChar w:fldCharType="begin"/>
          </w:r>
          <w:r>
            <w:instrText xml:space="preserve"> PAGEREF _Toc28531 \h </w:instrText>
          </w:r>
          <w:r>
            <w:fldChar w:fldCharType="separate"/>
          </w:r>
          <w:r>
            <w:t>12</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_Toc22619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 </w:t>
          </w:r>
          <w:r>
            <w:t>改进目标</w:t>
          </w:r>
          <w:r>
            <w:tab/>
          </w:r>
          <w:r>
            <w:fldChar w:fldCharType="begin"/>
          </w:r>
          <w:r>
            <w:instrText xml:space="preserve"> PAGEREF _Toc22619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_Toc24350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6.2.1. </w:t>
          </w:r>
          <w:r>
            <w:rPr>
              <w:rFonts w:hint="eastAsia"/>
              <w:lang w:val="en-US" w:eastAsia="zh-CN"/>
            </w:rPr>
            <w:t>过程框架设计</w:t>
          </w:r>
          <w:r>
            <w:tab/>
          </w:r>
          <w:r>
            <w:fldChar w:fldCharType="begin"/>
          </w:r>
          <w:r>
            <w:instrText xml:space="preserve"> PAGEREF _Toc24350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_Toc31634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6.2.2. </w:t>
          </w:r>
          <w:r>
            <w:t>服务级别管理</w:t>
          </w:r>
          <w:r>
            <w:tab/>
          </w:r>
          <w:r>
            <w:fldChar w:fldCharType="begin"/>
          </w:r>
          <w:r>
            <w:instrText xml:space="preserve"> PAGEREF _Toc31634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_Toc29805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6.2.3. </w:t>
          </w:r>
          <w:r>
            <w:t>服务报告管理</w:t>
          </w:r>
          <w:r>
            <w:tab/>
          </w:r>
          <w:r>
            <w:fldChar w:fldCharType="begin"/>
          </w:r>
          <w:r>
            <w:instrText xml:space="preserve"> PAGEREF _Toc29805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_Toc15845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6.2.4. </w:t>
          </w:r>
          <w:r>
            <w:t>事件管理</w:t>
          </w:r>
          <w:r>
            <w:tab/>
          </w:r>
          <w:r>
            <w:fldChar w:fldCharType="begin"/>
          </w:r>
          <w:r>
            <w:instrText xml:space="preserve"> PAGEREF _Toc15845 \h </w:instrText>
          </w:r>
          <w:r>
            <w:fldChar w:fldCharType="separate"/>
          </w:r>
          <w:r>
            <w:t>13</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_Toc10579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6.2.5. </w:t>
          </w:r>
          <w:r>
            <w:t>问题管理</w:t>
          </w:r>
          <w:r>
            <w:tab/>
          </w:r>
          <w:r>
            <w:fldChar w:fldCharType="begin"/>
          </w:r>
          <w:r>
            <w:instrText xml:space="preserve"> PAGEREF _Toc10579 \h </w:instrText>
          </w:r>
          <w:r>
            <w:fldChar w:fldCharType="separate"/>
          </w:r>
          <w:r>
            <w:t>14</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_Toc9140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6.2.6. </w:t>
          </w:r>
          <w:r>
            <w:t>变更管理</w:t>
          </w:r>
          <w:r>
            <w:tab/>
          </w:r>
          <w:r>
            <w:fldChar w:fldCharType="begin"/>
          </w:r>
          <w:r>
            <w:instrText xml:space="preserve"> PAGEREF _Toc9140 \h </w:instrText>
          </w:r>
          <w:r>
            <w:fldChar w:fldCharType="separate"/>
          </w:r>
          <w:r>
            <w:t>14</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_Toc514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6.2.7. </w:t>
          </w:r>
          <w:r>
            <w:t>发布</w:t>
          </w:r>
          <w:r>
            <w:rPr>
              <w:rFonts w:hint="eastAsia"/>
              <w:lang w:val="en-US" w:eastAsia="zh-CN"/>
            </w:rPr>
            <w:t>管理</w:t>
          </w:r>
          <w:r>
            <w:tab/>
          </w:r>
          <w:r>
            <w:fldChar w:fldCharType="begin"/>
          </w:r>
          <w:r>
            <w:instrText xml:space="preserve"> PAGEREF _Toc514 \h </w:instrText>
          </w:r>
          <w:r>
            <w:fldChar w:fldCharType="separate"/>
          </w:r>
          <w:r>
            <w:t>14</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_Toc13429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6.2.8. </w:t>
          </w:r>
          <w:r>
            <w:rPr>
              <w:rFonts w:hint="eastAsia"/>
              <w:lang w:val="en-US" w:eastAsia="zh-CN"/>
            </w:rPr>
            <w:t>配置</w:t>
          </w:r>
          <w:r>
            <w:t>管理</w:t>
          </w:r>
          <w:r>
            <w:tab/>
          </w:r>
          <w:r>
            <w:fldChar w:fldCharType="begin"/>
          </w:r>
          <w:r>
            <w:instrText xml:space="preserve"> PAGEREF _Toc13429 \h </w:instrText>
          </w:r>
          <w:r>
            <w:fldChar w:fldCharType="separate"/>
          </w:r>
          <w:r>
            <w:t>14</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_Toc21498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6.2.9. </w:t>
          </w:r>
          <w:r>
            <w:rPr>
              <w:rFonts w:hint="eastAsia"/>
              <w:lang w:val="en-US" w:eastAsia="zh-CN"/>
            </w:rPr>
            <w:t>服务可用性和连续性管理</w:t>
          </w:r>
          <w:r>
            <w:tab/>
          </w:r>
          <w:r>
            <w:fldChar w:fldCharType="begin"/>
          </w:r>
          <w:r>
            <w:instrText xml:space="preserve"> PAGEREF _Toc21498 \h </w:instrText>
          </w:r>
          <w:r>
            <w:fldChar w:fldCharType="separate"/>
          </w:r>
          <w:r>
            <w:t>15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_Toc13309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lang w:val="en-US" w:eastAsia="zh-CN"/>
            </w:rPr>
            <w:t xml:space="preserve">6.2.10. </w:t>
          </w:r>
          <w:r>
            <w:rPr>
              <w:rFonts w:hint="eastAsia"/>
              <w:lang w:val="en-US" w:eastAsia="zh-CN"/>
            </w:rPr>
            <w:t>容量管理</w:t>
          </w:r>
          <w:r>
            <w:tab/>
          </w:r>
          <w:r>
            <w:fldChar w:fldCharType="begin"/>
          </w:r>
          <w:r>
            <w:instrText xml:space="preserve"> PAGEREF _Toc13309 \h </w:instrText>
          </w:r>
          <w:r>
            <w:fldChar w:fldCharType="separate"/>
          </w:r>
          <w:r>
            <w:t>15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3"/>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_Toc28333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6.2.11. </w:t>
          </w:r>
          <w:r>
            <w:t>信息安全管理</w:t>
          </w:r>
          <w:r>
            <w:tab/>
          </w:r>
          <w:r>
            <w:fldChar w:fldCharType="begin"/>
          </w:r>
          <w:r>
            <w:instrText xml:space="preserve"> PAGEREF _Toc28333 \h </w:instrText>
          </w:r>
          <w:r>
            <w:fldChar w:fldCharType="separate"/>
          </w:r>
          <w:r>
            <w:t>15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_Toc11047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6.3. </w:t>
          </w:r>
          <w:r>
            <w:t>实施计划</w:t>
          </w:r>
          <w:r>
            <w:tab/>
          </w:r>
          <w:r>
            <w:fldChar w:fldCharType="begin"/>
          </w:r>
          <w:r>
            <w:instrText xml:space="preserve"> PAGEREF _Toc11047 \h </w:instrText>
          </w:r>
          <w:r>
            <w:fldChar w:fldCharType="separate"/>
          </w:r>
          <w:r>
            <w:t>15</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_Toc31242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7. </w:t>
          </w:r>
          <w:r>
            <w:t>交付管理</w:t>
          </w:r>
          <w:r>
            <w:tab/>
          </w:r>
          <w:r>
            <w:fldChar w:fldCharType="begin"/>
          </w:r>
          <w:r>
            <w:instrText xml:space="preserve"> PAGEREF _Toc31242 \h </w:instrText>
          </w:r>
          <w:r>
            <w:fldChar w:fldCharType="separate"/>
          </w:r>
          <w:r>
            <w:t>19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_Toc25240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7.1. </w:t>
          </w:r>
          <w:r>
            <w:t>现状分析</w:t>
          </w:r>
          <w:r>
            <w:tab/>
          </w:r>
          <w:r>
            <w:fldChar w:fldCharType="begin"/>
          </w:r>
          <w:r>
            <w:instrText xml:space="preserve"> PAGEREF _Toc25240 \h </w:instrText>
          </w:r>
          <w:r>
            <w:fldChar w:fldCharType="separate"/>
          </w:r>
          <w:r>
            <w:t>19</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_Toc17080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7.2. </w:t>
          </w:r>
          <w:r>
            <w:t>改进目标</w:t>
          </w:r>
          <w:r>
            <w:tab/>
          </w:r>
          <w:r>
            <w:fldChar w:fldCharType="begin"/>
          </w:r>
          <w:r>
            <w:instrText xml:space="preserve"> PAGEREF _Toc17080 \h </w:instrText>
          </w:r>
          <w:r>
            <w:fldChar w:fldCharType="separate"/>
          </w:r>
          <w:r>
            <w:t>20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_Toc18604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7.3. </w:t>
          </w:r>
          <w:r>
            <w:t>实施计划</w:t>
          </w:r>
          <w:r>
            <w:tab/>
          </w:r>
          <w:r>
            <w:fldChar w:fldCharType="begin"/>
          </w:r>
          <w:r>
            <w:instrText xml:space="preserve"> PAGEREF _Toc18604 \h </w:instrText>
          </w:r>
          <w:r>
            <w:fldChar w:fldCharType="separate"/>
          </w:r>
          <w:r>
            <w:t>20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_Toc10435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8. </w:t>
          </w:r>
          <w:r>
            <w:t>应急响应</w:t>
          </w:r>
          <w:r>
            <w:tab/>
          </w:r>
          <w:r>
            <w:fldChar w:fldCharType="begin"/>
          </w:r>
          <w:r>
            <w:instrText xml:space="preserve"> PAGEREF _Toc10435 \h </w:instrText>
          </w:r>
          <w:r>
            <w:fldChar w:fldCharType="separate"/>
          </w:r>
          <w:r>
            <w:t>20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_Toc17367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8.1. </w:t>
          </w:r>
          <w:r>
            <w:t>现状分析</w:t>
          </w:r>
          <w:r>
            <w:tab/>
          </w:r>
          <w:r>
            <w:fldChar w:fldCharType="begin"/>
          </w:r>
          <w:r>
            <w:instrText xml:space="preserve"> PAGEREF _Toc17367 \h </w:instrText>
          </w:r>
          <w:r>
            <w:fldChar w:fldCharType="separate"/>
          </w:r>
          <w:r>
            <w:t>20</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_Toc19715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8.2. </w:t>
          </w:r>
          <w:r>
            <w:t>改进目标</w:t>
          </w:r>
          <w:r>
            <w:tab/>
          </w:r>
          <w:r>
            <w:fldChar w:fldCharType="begin"/>
          </w:r>
          <w:r>
            <w:instrText xml:space="preserve"> PAGEREF _Toc19715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_Toc15610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8.3. </w:t>
          </w:r>
          <w:r>
            <w:t>实施计划</w:t>
          </w:r>
          <w:r>
            <w:tab/>
          </w:r>
          <w:r>
            <w:fldChar w:fldCharType="begin"/>
          </w:r>
          <w:r>
            <w:instrText xml:space="preserve"> PAGEREF _Toc15610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1"/>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_Toc14993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9. </w:t>
          </w:r>
          <w:r>
            <w:t>质量管理</w:t>
          </w:r>
          <w:r>
            <w:tab/>
          </w:r>
          <w:r>
            <w:fldChar w:fldCharType="begin"/>
          </w:r>
          <w:r>
            <w:instrText xml:space="preserve"> PAGEREF _Toc14993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_Toc18818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9.1. </w:t>
          </w:r>
          <w:r>
            <w:t>现状分析</w:t>
          </w:r>
          <w:r>
            <w:tab/>
          </w:r>
          <w:r>
            <w:fldChar w:fldCharType="begin"/>
          </w:r>
          <w:r>
            <w:instrText xml:space="preserve"> PAGEREF _Toc18818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_Toc29953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9.2. </w:t>
          </w:r>
          <w:r>
            <w:t>改进目标</w:t>
          </w:r>
          <w:r>
            <w:tab/>
          </w:r>
          <w:r>
            <w:fldChar w:fldCharType="begin"/>
          </w:r>
          <w:r>
            <w:instrText xml:space="preserve"> PAGEREF _Toc29953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pStyle w:val="TOC2"/>
            <w:tabs>
              <w:tab w:val="right" w:leader="dot" w:pos="8371"/>
            </w:tabs>
          </w:pPr>
          <w:r>
            <w:rPr>
              <w:rFonts w:ascii="Microsoft JhengHei" w:eastAsia="Microsoft JhengHei" w:hAnsi="Microsoft JhengHei" w:cs="Microsoft JhengHei" w:hint="eastAsia"/>
              <w:snapToGrid w:val="0"/>
              <w:color w:val="000000"/>
              <w:kern w:val="0"/>
              <w:szCs w:val="24"/>
              <w:lang w:val="en-US" w:eastAsia="en-US" w:bidi="ar-SA"/>
            </w:rPr>
            <w:fldChar w:fldCharType="begin"/>
          </w:r>
          <w:r>
            <w:rPr>
              <w:rFonts w:ascii="Microsoft JhengHei" w:eastAsia="Microsoft JhengHei" w:hAnsi="Microsoft JhengHei" w:cs="Microsoft JhengHei" w:hint="eastAsia"/>
              <w:snapToGrid w:val="0"/>
              <w:kern w:val="0"/>
              <w:szCs w:val="24"/>
              <w:lang w:val="en-US" w:eastAsia="en-US" w:bidi="ar-SA"/>
            </w:rPr>
            <w:instrText xml:space="preserve"> HYPERLINK \l _Toc23362 </w:instrText>
          </w:r>
          <w:r>
            <w:rPr>
              <w:rFonts w:ascii="Microsoft JhengHei" w:eastAsia="Microsoft JhengHei" w:hAnsi="Microsoft JhengHei" w:cs="Microsoft JhengHei" w:hint="eastAsia"/>
              <w:snapToGrid w:val="0"/>
              <w:kern w:val="0"/>
              <w:szCs w:val="24"/>
              <w:lang w:val="en-US" w:eastAsia="en-US" w:bidi="ar-SA"/>
            </w:rPr>
            <w:fldChar w:fldCharType="separate"/>
          </w:r>
          <w:r>
            <w:rPr>
              <w:rFonts w:hint="default"/>
            </w:rPr>
            <w:t xml:space="preserve">9.3. </w:t>
          </w:r>
          <w:r>
            <w:t>实施计划</w:t>
          </w:r>
          <w:r>
            <w:tab/>
          </w:r>
          <w:r>
            <w:fldChar w:fldCharType="begin"/>
          </w:r>
          <w:r>
            <w:instrText xml:space="preserve"> PAGEREF _Toc23362 \h </w:instrText>
          </w:r>
          <w:r>
            <w:fldChar w:fldCharType="separate"/>
          </w:r>
          <w:r>
            <w:t>21</w:t>
          </w:r>
          <w:r>
            <w:fldChar w:fldCharType="end"/>
          </w:r>
          <w:r>
            <w:rPr>
              <w:rFonts w:ascii="Microsoft JhengHei" w:eastAsia="Microsoft JhengHei" w:hAnsi="Microsoft JhengHei" w:cs="Microsoft JhengHei" w:hint="eastAsia"/>
              <w:snapToGrid w:val="0"/>
              <w:color w:val="000000"/>
              <w:kern w:val="0"/>
              <w:szCs w:val="24"/>
              <w:lang w:val="en-US" w:eastAsia="en-US"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Microsoft JhengHei" w:eastAsia="Microsoft JhengHei" w:hAnsi="Microsoft JhengHei" w:cs="Microsoft JhengHei" w:hint="eastAsia"/>
              <w:snapToGrid w:val="0"/>
              <w:color w:val="000000"/>
              <w:kern w:val="0"/>
              <w:sz w:val="21"/>
              <w:szCs w:val="24"/>
              <w:lang w:val="en-US" w:eastAsia="en-US" w:bidi="ar-SA"/>
            </w:rPr>
          </w:pPr>
          <w:r>
            <w:rPr>
              <w:rFonts w:ascii="Microsoft JhengHei" w:eastAsia="Microsoft JhengHei" w:hAnsi="Microsoft JhengHei" w:cs="Microsoft JhengHei" w:hint="eastAsia"/>
              <w:snapToGrid w:val="0"/>
              <w:color w:val="000000"/>
              <w:kern w:val="0"/>
              <w:szCs w:val="24"/>
              <w:lang w:val="en-US" w:eastAsia="en-US" w:bidi="ar-SA"/>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Microsoft JhengHei" w:eastAsia="Microsoft JhengHei" w:hAnsi="Microsoft JhengHei" w:cs="Microsoft JhengHei" w:hint="eastAsia"/>
          <w:snapToGrid w:val="0"/>
          <w:color w:val="000000"/>
          <w:kern w:val="0"/>
          <w:sz w:val="21"/>
          <w:szCs w:val="24"/>
          <w:lang w:val="en-US" w:eastAsia="en-US" w:bidi="ar-SA"/>
        </w:rPr>
      </w:pPr>
    </w:p>
    <w:p>
      <w:pPr>
        <w:keepNext w:val="0"/>
        <w:keepLines w:val="0"/>
        <w:pageBreakBefore w:val="0"/>
        <w:widowControl w:val="0"/>
        <w:tabs>
          <w:tab w:val="right" w:leader="dot" w:pos="8330"/>
        </w:tabs>
        <w:kinsoku w:val="0"/>
        <w:wordWrap/>
        <w:overflowPunct/>
        <w:topLinePunct w:val="0"/>
        <w:autoSpaceDE w:val="0"/>
        <w:autoSpaceDN w:val="0"/>
        <w:bidi w:val="0"/>
        <w:adjustRightInd w:val="0"/>
        <w:snapToGrid w:val="0"/>
        <w:spacing w:before="251" w:line="220" w:lineRule="auto"/>
        <w:ind w:left="276"/>
        <w:rPr>
          <w:rFonts w:ascii="Calibri" w:eastAsia="Calibri" w:hAnsi="Calibri" w:cs="Calibri"/>
          <w:sz w:val="20"/>
          <w:szCs w:val="20"/>
        </w:rPr>
      </w:pPr>
    </w:p>
    <w:p>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Calibri" w:eastAsia="Calibri" w:hAnsi="Calibri" w:cs="Calibri"/>
          <w:sz w:val="20"/>
          <w:szCs w:val="20"/>
        </w:rPr>
        <w:sectPr>
          <w:footerReference w:type="default" r:id="rId6"/>
          <w:pgSz w:w="11906" w:h="16839"/>
          <w:pgMar w:top="1370" w:right="1767" w:bottom="1637" w:left="1768" w:header="0" w:footer="1385"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pPr>
      <w:bookmarkStart w:id="9" w:name="_Toc18839"/>
      <w:bookmarkStart w:id="10" w:name="_Toc10726"/>
      <w:bookmarkStart w:id="11" w:name="_Toc16981"/>
      <w:r>
        <w:t>概要说明</w:t>
      </w:r>
      <w:bookmarkEnd w:id="9"/>
      <w:bookmarkEnd w:id="10"/>
      <w:bookmarkEnd w:id="11"/>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hint="eastAsia"/>
          <w:spacing w:val="-2"/>
          <w:sz w:val="24"/>
          <w:szCs w:val="24"/>
        </w:rPr>
        <w:t>2025</w:t>
      </w:r>
      <w:r>
        <w:rPr>
          <w:rFonts w:ascii="宋体" w:eastAsia="宋体" w:hAnsi="宋体" w:cs="宋体"/>
          <w:spacing w:val="-2"/>
          <w:sz w:val="24"/>
          <w:szCs w:val="24"/>
        </w:rPr>
        <w:t>年度运维服务管理能力计划用于指导公司管理和提高运维服务能力，在本年度内按照服务级别协议以及服务目录，实施运维服务管理与服务运营活动。实施服务管理计划的目的是达成公司既定的服务质量目标、规划并合理使用资源、保证业务连续性和运维服务连续性、不断改进服务过程。为客户提供稳定、安全、高效的运行维护服务。</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本文档在公司相关管理要求和管理策略基础上，定义了能力管理计划。通过规划公司在运维服务方面的人力、资源、技术、过程、质量、交付、应急等方面的能力，并通过有计划的开展能力建设工作，促进公司业务的发展。</w:t>
      </w:r>
    </w:p>
    <w:p>
      <w:pPr>
        <w:pStyle w:val="1"/>
        <w:keepNext w:val="0"/>
        <w:keepLines w:val="0"/>
        <w:pageBreakBefore w:val="0"/>
        <w:widowControl w:val="0"/>
        <w:kinsoku w:val="0"/>
        <w:wordWrap/>
        <w:overflowPunct/>
        <w:topLinePunct w:val="0"/>
        <w:autoSpaceDE w:val="0"/>
        <w:autoSpaceDN w:val="0"/>
        <w:bidi w:val="0"/>
        <w:adjustRightInd w:val="0"/>
        <w:snapToGrid w:val="0"/>
      </w:pPr>
      <w:bookmarkStart w:id="12" w:name="_Toc23626"/>
      <w:bookmarkStart w:id="13" w:name="_Toc16113"/>
      <w:bookmarkStart w:id="14" w:name="_Toc4722"/>
      <w:r>
        <w:t>年度目标</w:t>
      </w:r>
      <w:bookmarkEnd w:id="12"/>
      <w:bookmarkEnd w:id="13"/>
      <w:bookmarkEnd w:id="14"/>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在公司运维服务全体员工的不懈努力下，根据公司发展愿景及战略绩效目标，特制定 2025年运维业务的经营目标如下：</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运维业务收入超 1200 万。其中</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hint="eastAsia"/>
          <w:spacing w:val="-2"/>
          <w:sz w:val="24"/>
          <w:szCs w:val="24"/>
          <w:lang w:val="en-US" w:eastAsia="zh-CN"/>
        </w:rPr>
        <w:t>医疗</w:t>
      </w:r>
      <w:r>
        <w:rPr>
          <w:rFonts w:ascii="宋体" w:eastAsia="宋体" w:hAnsi="宋体" w:cs="宋体"/>
          <w:spacing w:val="-2"/>
          <w:sz w:val="24"/>
          <w:szCs w:val="24"/>
        </w:rPr>
        <w:t>信息化运维 600 万；</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hint="eastAsia"/>
          <w:spacing w:val="-2"/>
          <w:sz w:val="24"/>
          <w:szCs w:val="24"/>
          <w:lang w:val="en-US" w:eastAsia="zh-CN"/>
        </w:rPr>
        <w:t>政府</w:t>
      </w:r>
      <w:bookmarkStart w:id="15" w:name="_GoBack"/>
      <w:bookmarkEnd w:id="15"/>
      <w:r>
        <w:rPr>
          <w:rFonts w:ascii="宋体" w:eastAsia="宋体" w:hAnsi="宋体" w:cs="宋体"/>
          <w:spacing w:val="-2"/>
          <w:sz w:val="24"/>
          <w:szCs w:val="24"/>
        </w:rPr>
        <w:t>信息化运维 300 万；</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教育信息化运维 300 万；</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为完成该目标，需首先保证老客户的持续服务，维持老客户的 800 余万的收入，将能完成约 67%左右的任务指标，还需要拓展新的运维客户去完成剩余运维业务收入。其次，针对已经完成建设的客户，在维持良好客户关系的基础上，开拓运维服务收入来源，如开展维护服务项目，或扩大项目规模，增加老客户的收入额。</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为了将运维业务更加专业化，我公司的运维业务在市场上更有竞争力。公 司决定于本周期度引入 GB/T28827.1-20</w:t>
      </w:r>
      <w:r>
        <w:rPr>
          <w:rFonts w:ascii="宋体" w:eastAsia="宋体" w:hAnsi="宋体" w:cs="宋体" w:hint="eastAsia"/>
          <w:spacing w:val="-2"/>
          <w:sz w:val="24"/>
          <w:szCs w:val="24"/>
          <w:lang w:val="en-US" w:eastAsia="zh-CN"/>
        </w:rPr>
        <w:t>2</w:t>
      </w:r>
      <w:r>
        <w:rPr>
          <w:rFonts w:ascii="宋体" w:eastAsia="宋体" w:hAnsi="宋体" w:cs="宋体"/>
          <w:spacing w:val="-2"/>
          <w:sz w:val="24"/>
          <w:szCs w:val="24"/>
        </w:rPr>
        <w:t xml:space="preserve">2《信息技术服务 运行维护 第 1 部分：通用要求》、GB/T28827.2-2012《信息技术服务运行维护第 2 部分：交付规范》 、GB/T28827.3-2012《信息技术服务运行维护 第 3 部分：应急响应规范》及 </w:t>
      </w:r>
      <w:r>
        <w:rPr>
          <w:rFonts w:ascii="宋体" w:eastAsia="宋体" w:hAnsi="宋体" w:cs="宋体" w:hint="eastAsia"/>
          <w:spacing w:val="-2"/>
          <w:sz w:val="24"/>
          <w:szCs w:val="24"/>
        </w:rPr>
        <w:t>T/CESA 1299—2023</w:t>
      </w:r>
      <w:r>
        <w:rPr>
          <w:rFonts w:ascii="宋体" w:eastAsia="宋体" w:hAnsi="宋体" w:cs="宋体"/>
          <w:spacing w:val="-2"/>
          <w:sz w:val="24"/>
          <w:szCs w:val="24"/>
        </w:rPr>
        <w:t>《信息技术服务运行维护服务能力成熟度模型》，建立以提升运维服务力为导向的运维服务能力管理体系。公司根据 ITSS 体系的要求，结合业务发展需要，从人员管理、资源管理、技术管理、服务过程管理、交付管理、应急管理及质量管理等方面梳理、改进和完善原有的运维服务体系，形成了人力、过程、资源、技术、质量、交付</w:t>
      </w:r>
      <w:r>
        <w:rPr>
          <w:rFonts w:ascii="宋体" w:eastAsia="宋体" w:hAnsi="宋体" w:cs="宋体" w:hint="eastAsia"/>
          <w:spacing w:val="-2"/>
          <w:sz w:val="24"/>
          <w:szCs w:val="24"/>
          <w:lang w:val="en-US" w:eastAsia="zh-CN"/>
        </w:rPr>
        <w:t>和</w:t>
      </w:r>
      <w:r>
        <w:rPr>
          <w:rFonts w:ascii="宋体" w:eastAsia="宋体" w:hAnsi="宋体" w:cs="宋体"/>
          <w:spacing w:val="-2"/>
          <w:sz w:val="24"/>
          <w:szCs w:val="24"/>
        </w:rPr>
        <w:t>应急等方面相互结合、相互促进、协调一致的运维服务能力管理体系。</w:t>
      </w:r>
    </w:p>
    <w:p>
      <w:pPr>
        <w:pStyle w:val="1"/>
        <w:keepNext w:val="0"/>
        <w:keepLines w:val="0"/>
        <w:pageBreakBefore w:val="0"/>
        <w:widowControl w:val="0"/>
        <w:kinsoku w:val="0"/>
        <w:wordWrap/>
        <w:overflowPunct/>
        <w:topLinePunct w:val="0"/>
        <w:autoSpaceDE w:val="0"/>
        <w:autoSpaceDN w:val="0"/>
        <w:bidi w:val="0"/>
        <w:adjustRightInd w:val="0"/>
        <w:snapToGrid w:val="0"/>
      </w:pPr>
      <w:bookmarkStart w:id="16" w:name="_Toc3935"/>
      <w:bookmarkStart w:id="17" w:name="_Toc10479"/>
      <w:bookmarkStart w:id="18" w:name="_Toc24292"/>
      <w:r>
        <w:t>人员方面</w:t>
      </w:r>
      <w:bookmarkEnd w:id="16"/>
      <w:bookmarkEnd w:id="17"/>
      <w:bookmarkEnd w:id="18"/>
    </w:p>
    <w:p>
      <w:pPr>
        <w:pStyle w:val="2"/>
        <w:keepNext w:val="0"/>
        <w:keepLines w:val="0"/>
        <w:pageBreakBefore w:val="0"/>
        <w:widowControl w:val="0"/>
        <w:kinsoku w:val="0"/>
        <w:wordWrap/>
        <w:overflowPunct/>
        <w:topLinePunct w:val="0"/>
        <w:autoSpaceDE w:val="0"/>
        <w:autoSpaceDN w:val="0"/>
        <w:bidi w:val="0"/>
        <w:adjustRightInd w:val="0"/>
        <w:snapToGrid w:val="0"/>
      </w:pPr>
      <w:bookmarkStart w:id="19" w:name="bookmark62"/>
      <w:bookmarkEnd w:id="19"/>
      <w:bookmarkStart w:id="20" w:name="_Toc14134"/>
      <w:bookmarkStart w:id="21" w:name="_Toc3415"/>
      <w:bookmarkStart w:id="22" w:name="_Toc8034"/>
      <w:r>
        <w:t>现状分析</w:t>
      </w:r>
      <w:bookmarkEnd w:id="20"/>
      <w:bookmarkEnd w:id="21"/>
      <w:bookmarkEnd w:id="22"/>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结合公司202</w:t>
      </w:r>
      <w:r>
        <w:rPr>
          <w:rFonts w:ascii="宋体" w:eastAsia="宋体" w:hAnsi="宋体" w:cs="宋体" w:hint="eastAsia"/>
          <w:spacing w:val="-2"/>
          <w:sz w:val="24"/>
          <w:szCs w:val="24"/>
          <w:lang w:val="en-US" w:eastAsia="zh-CN"/>
        </w:rPr>
        <w:t>5</w:t>
      </w:r>
      <w:r>
        <w:rPr>
          <w:rFonts w:ascii="宋体" w:eastAsia="宋体" w:hAnsi="宋体" w:cs="宋体"/>
          <w:spacing w:val="-2"/>
          <w:sz w:val="24"/>
          <w:szCs w:val="24"/>
        </w:rPr>
        <w:t>年度运维业务状况及工作运维工作计划，为了使人才结构和人才比例满足公司业务增长的要求。特制定 2025年度人员储备计划并展开工作。</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23" w:name="_Toc6106"/>
      <w:r>
        <w:rPr>
          <w:rFonts w:hint="eastAsia"/>
          <w:lang w:val="en-US" w:eastAsia="zh-CN"/>
        </w:rPr>
        <w:t>改进目标</w:t>
      </w:r>
      <w:bookmarkEnd w:id="23"/>
    </w:p>
    <w:p>
      <w:pPr>
        <w:keepNext w:val="0"/>
        <w:keepLines w:val="0"/>
        <w:pageBreakBefore w:val="0"/>
        <w:widowControl w:val="0"/>
        <w:kinsoku w:val="0"/>
        <w:wordWrap/>
        <w:overflowPunct/>
        <w:topLinePunct w:val="0"/>
        <w:autoSpaceDE w:val="0"/>
        <w:autoSpaceDN w:val="0"/>
        <w:bidi w:val="0"/>
        <w:adjustRightInd w:val="0"/>
        <w:snapToGrid w:val="0"/>
        <w:rPr>
          <w:spacing w:val="-2"/>
          <w:sz w:val="24"/>
          <w:szCs w:val="24"/>
        </w:rPr>
      </w:pPr>
      <w:r>
        <w:rPr>
          <w:spacing w:val="-1"/>
          <w:sz w:val="24"/>
          <w:szCs w:val="24"/>
        </w:rPr>
        <w:t>满足当前运维业务的需</w:t>
      </w:r>
      <w:r>
        <w:rPr>
          <w:spacing w:val="-2"/>
          <w:sz w:val="24"/>
          <w:szCs w:val="24"/>
        </w:rPr>
        <w:t>要，降低目前在岗人员的工作压力，保证服务的持续性。</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24" w:name="_Toc15944"/>
      <w:r>
        <w:rPr>
          <w:rFonts w:hint="eastAsia"/>
          <w:lang w:val="en-US" w:eastAsia="zh-CN"/>
        </w:rPr>
        <w:t>实施计划</w:t>
      </w:r>
      <w:bookmarkEnd w:id="24"/>
    </w:p>
    <w:p>
      <w:pPr>
        <w:pStyle w:val="3"/>
        <w:keepNext w:val="0"/>
        <w:keepLines w:val="0"/>
        <w:pageBreakBefore w:val="0"/>
        <w:widowControl w:val="0"/>
        <w:kinsoku w:val="0"/>
        <w:wordWrap/>
        <w:overflowPunct/>
        <w:topLinePunct w:val="0"/>
        <w:autoSpaceDE w:val="0"/>
        <w:autoSpaceDN w:val="0"/>
        <w:bidi w:val="0"/>
        <w:adjustRightInd w:val="0"/>
        <w:snapToGrid w:val="0"/>
      </w:pPr>
      <w:bookmarkStart w:id="25" w:name="_Toc11219"/>
      <w:bookmarkStart w:id="26" w:name="_Toc26732"/>
      <w:bookmarkStart w:id="27" w:name="_Toc8815"/>
      <w:r>
        <w:t>人员</w:t>
      </w:r>
      <w:r>
        <w:rPr>
          <w:rFonts w:hint="eastAsia"/>
          <w:lang w:val="en-US" w:eastAsia="zh-CN"/>
        </w:rPr>
        <w:t>招聘</w:t>
      </w:r>
      <w:bookmarkEnd w:id="25"/>
      <w:bookmarkEnd w:id="26"/>
      <w:bookmarkEnd w:id="27"/>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为满足企业发展对人才的需求，以202</w:t>
      </w:r>
      <w:r>
        <w:rPr>
          <w:rFonts w:ascii="宋体" w:eastAsia="宋体" w:hAnsi="宋体" w:cs="宋体" w:hint="eastAsia"/>
          <w:spacing w:val="-2"/>
          <w:sz w:val="24"/>
          <w:szCs w:val="24"/>
          <w:lang w:val="en-US" w:eastAsia="zh-CN"/>
        </w:rPr>
        <w:t>5</w:t>
      </w:r>
      <w:r>
        <w:rPr>
          <w:rFonts w:ascii="宋体" w:eastAsia="宋体" w:hAnsi="宋体" w:cs="宋体"/>
          <w:spacing w:val="-2"/>
          <w:sz w:val="24"/>
          <w:szCs w:val="24"/>
        </w:rPr>
        <w:t>年度企业经营计划为依据，结合公司实际情况，为公司提供人力资源的支持。人力资源部会同各部门确定今年度招聘岗位及人数，针对待招聘的岗位进行招聘渠道、招聘方式的选择。</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依据对202</w:t>
      </w:r>
      <w:r>
        <w:rPr>
          <w:rFonts w:ascii="宋体" w:eastAsia="宋体" w:hAnsi="宋体" w:cs="宋体" w:hint="eastAsia"/>
          <w:spacing w:val="-2"/>
          <w:sz w:val="24"/>
          <w:szCs w:val="24"/>
          <w:lang w:val="en-US" w:eastAsia="zh-CN"/>
        </w:rPr>
        <w:t>5</w:t>
      </w:r>
      <w:r>
        <w:rPr>
          <w:rFonts w:ascii="宋体" w:eastAsia="宋体" w:hAnsi="宋体" w:cs="宋体"/>
          <w:spacing w:val="-2"/>
          <w:sz w:val="24"/>
          <w:szCs w:val="24"/>
        </w:rPr>
        <w:t>年预估的公司业务目标，为提高客户满意度，运维部需要招聘</w:t>
      </w:r>
      <w:r>
        <w:rPr>
          <w:rFonts w:ascii="宋体" w:eastAsia="宋体" w:hAnsi="宋体" w:cs="宋体" w:hint="eastAsia"/>
          <w:spacing w:val="-2"/>
          <w:sz w:val="24"/>
          <w:szCs w:val="24"/>
          <w:lang w:val="en-US" w:eastAsia="zh-CN"/>
        </w:rPr>
        <w:t>9</w:t>
      </w:r>
      <w:r>
        <w:rPr>
          <w:rFonts w:ascii="宋体" w:eastAsia="宋体" w:hAnsi="宋体" w:cs="宋体"/>
          <w:spacing w:val="-2"/>
          <w:sz w:val="24"/>
          <w:szCs w:val="24"/>
        </w:rPr>
        <w:t>名新员工，包括运维实施工程师、数据库工程师、网络工程师等多个岗位，通过校园招聘、网络招聘、内部推荐的方式进行人才引进。</w:t>
      </w:r>
    </w:p>
    <w:p>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eastAsia="宋体" w:hAnsi="宋体" w:cs="宋体"/>
          <w:spacing w:val="-1"/>
          <w:sz w:val="24"/>
          <w:szCs w:val="24"/>
        </w:rPr>
      </w:pPr>
      <w:bookmarkStart w:id="28" w:name="_Toc1260"/>
      <w:bookmarkStart w:id="29" w:name="_Toc9504"/>
      <w:r>
        <w:rPr>
          <w:rFonts w:ascii="宋体" w:eastAsia="宋体" w:hAnsi="宋体" w:cs="宋体"/>
          <w:spacing w:val="-1"/>
          <w:sz w:val="24"/>
          <w:szCs w:val="24"/>
        </w:rPr>
        <w:t>具体招聘计划如下：</w:t>
      </w:r>
      <w:bookmarkEnd w:id="28"/>
      <w:bookmarkEnd w:id="29"/>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3"/>
        <w:gridCol w:w="1092"/>
        <w:gridCol w:w="1524"/>
        <w:gridCol w:w="1944"/>
        <w:gridCol w:w="130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621" w:type="dxa"/>
            <w:gridSpan w:val="5"/>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bookmarkStart w:id="30" w:name="_Toc21729"/>
            <w:bookmarkStart w:id="31" w:name="_Toc3032"/>
            <w:r>
              <w:rPr>
                <w:rFonts w:ascii="宋体" w:eastAsia="宋体" w:hAnsi="宋体" w:cs="宋体" w:hint="eastAsia"/>
                <w:spacing w:val="-2"/>
                <w:sz w:val="21"/>
                <w:szCs w:val="21"/>
                <w:vertAlign w:val="baseline"/>
                <w:lang w:val="en-US" w:eastAsia="zh-CN"/>
              </w:rPr>
              <w:t>2025年人员招聘计划</w:t>
            </w:r>
          </w:p>
        </w:tc>
      </w:tr>
      <w:tr>
        <w:tblPrEx>
          <w:tblW w:w="0" w:type="auto"/>
          <w:jc w:val="center"/>
          <w:tblCellMar>
            <w:top w:w="0" w:type="dxa"/>
            <w:left w:w="108" w:type="dxa"/>
            <w:bottom w:w="0" w:type="dxa"/>
            <w:right w:w="108" w:type="dxa"/>
          </w:tblCellMar>
        </w:tblPrEx>
        <w:trPr>
          <w:trHeight w:val="426"/>
          <w:jc w:val="center"/>
        </w:trPr>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岗位名称</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招聘人数</w:t>
            </w:r>
          </w:p>
        </w:tc>
        <w:tc>
          <w:tcPr>
            <w:tcW w:w="152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责任部门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预计到岗日期</w:t>
            </w:r>
          </w:p>
        </w:tc>
        <w:tc>
          <w:tcPr>
            <w:tcW w:w="1308"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招聘方式</w:t>
            </w:r>
          </w:p>
        </w:tc>
      </w:tr>
      <w:tr>
        <w:tblPrEx>
          <w:tblW w:w="0" w:type="auto"/>
          <w:jc w:val="center"/>
          <w:tblCellMar>
            <w:top w:w="0" w:type="dxa"/>
            <w:left w:w="108" w:type="dxa"/>
            <w:bottom w:w="0" w:type="dxa"/>
            <w:right w:w="108" w:type="dxa"/>
          </w:tblCellMar>
        </w:tblPrEx>
        <w:trPr>
          <w:trHeight w:val="351"/>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人力资源部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z w:val="21"/>
                <w:szCs w:val="21"/>
                <w:lang w:val="en-US" w:eastAsia="zh-CN"/>
              </w:rPr>
            </w:pPr>
            <w:r>
              <w:rPr>
                <w:rFonts w:ascii="宋体" w:eastAsia="宋体" w:hAnsi="宋体" w:cs="宋体" w:hint="eastAsia"/>
                <w:spacing w:val="-2"/>
                <w:sz w:val="21"/>
                <w:szCs w:val="21"/>
                <w:vertAlign w:val="baseline"/>
                <w:lang w:val="en-US" w:eastAsia="zh-CN"/>
              </w:rPr>
              <w:t>2025年2月</w:t>
            </w:r>
          </w:p>
        </w:tc>
        <w:tc>
          <w:tcPr>
            <w:tcW w:w="1308"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数据库工程师</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2025年3月</w:t>
            </w:r>
          </w:p>
        </w:tc>
        <w:tc>
          <w:tcPr>
            <w:tcW w:w="1308"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运维实施工程师</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人力资源部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2025年4月</w:t>
            </w:r>
          </w:p>
        </w:tc>
        <w:tc>
          <w:tcPr>
            <w:tcW w:w="1308"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default"/>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软件工程师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default"/>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2025年5月</w:t>
            </w: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2025年6月</w:t>
            </w: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2025年7月</w:t>
            </w: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vMerge w:val="restart"/>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2025年10月</w:t>
            </w: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r>
        <w:tblPrEx>
          <w:tblW w:w="0" w:type="auto"/>
          <w:jc w:val="center"/>
          <w:tblCellMar>
            <w:top w:w="0" w:type="dxa"/>
            <w:left w:w="108" w:type="dxa"/>
            <w:bottom w:w="0" w:type="dxa"/>
            <w:right w:w="108" w:type="dxa"/>
          </w:tblCellMar>
        </w:tblPrEx>
        <w:trPr>
          <w:jc w:val="center"/>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网络工程师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vMerge/>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p>
        </w:tc>
        <w:tc>
          <w:tcPr>
            <w:tcW w:w="1308"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外聘</w:t>
            </w:r>
          </w:p>
        </w:tc>
      </w:tr>
    </w:tbl>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32" w:name="_Toc6872"/>
      <w:r>
        <w:rPr>
          <w:rFonts w:hint="eastAsia"/>
          <w:lang w:val="en-US" w:eastAsia="zh-CN"/>
        </w:rPr>
        <w:t>人员储备计划</w:t>
      </w:r>
      <w:bookmarkEnd w:id="32"/>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为了使人才结构和人才比例满足公司业务增长的要求。特制定2025年度人员内部储备计划，并开展相关工作。</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人力资源部与汇同各部门进行关键岗位的识别，确定运维部经理、运维项目经理等为关键岗位。依据公司的业务发展和人才情况进行分析，确定出储备的人数。</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hint="eastAsia"/>
          <w:lang w:val="en-US" w:eastAsia="zh-CN"/>
        </w:rPr>
      </w:pPr>
      <w:r>
        <w:rPr>
          <w:rFonts w:ascii="宋体" w:eastAsia="宋体" w:hAnsi="宋体" w:cs="宋体"/>
          <w:spacing w:val="-2"/>
          <w:sz w:val="24"/>
          <w:szCs w:val="24"/>
        </w:rPr>
        <w:t>依据储备方式为该岗位的低一级的岗位确定储备对象的岗位，并对储备人员进行培养、培训以及考核和考评。</w:t>
      </w:r>
    </w:p>
    <w:p>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eastAsia="宋体" w:hAnsi="宋体" w:cs="宋体"/>
          <w:spacing w:val="-2"/>
          <w:sz w:val="24"/>
          <w:szCs w:val="24"/>
        </w:rPr>
      </w:pPr>
      <w:r>
        <w:rPr>
          <w:rFonts w:ascii="宋体" w:eastAsia="宋体" w:hAnsi="宋体" w:cs="宋体" w:hint="eastAsia"/>
          <w:spacing w:val="-2"/>
          <w:sz w:val="24"/>
          <w:szCs w:val="24"/>
          <w:lang w:val="en-US" w:eastAsia="zh-CN"/>
        </w:rPr>
        <w:t>内部储备计划如下:</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0"/>
        <w:gridCol w:w="1150"/>
        <w:gridCol w:w="1533"/>
        <w:gridCol w:w="1960"/>
        <w:gridCol w:w="12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626" w:type="dxa"/>
            <w:gridSpan w:val="5"/>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4"/>
                <w:szCs w:val="24"/>
                <w:vertAlign w:val="baseline"/>
                <w:lang w:val="en-US" w:eastAsia="zh-CN"/>
              </w:rPr>
            </w:pPr>
            <w:r>
              <w:rPr>
                <w:rFonts w:eastAsia="宋体" w:hint="eastAsia"/>
                <w:spacing w:val="-2"/>
                <w:sz w:val="24"/>
                <w:szCs w:val="24"/>
                <w:vertAlign w:val="baseline"/>
                <w:lang w:val="en-US" w:eastAsia="zh-CN"/>
              </w:rPr>
              <w:t>2025年人员储备计划</w:t>
            </w:r>
          </w:p>
        </w:tc>
      </w:tr>
      <w:tr>
        <w:tblPrEx>
          <w:tblW w:w="0" w:type="auto"/>
          <w:jc w:val="center"/>
          <w:tblCellMar>
            <w:top w:w="0" w:type="dxa"/>
            <w:left w:w="108" w:type="dxa"/>
            <w:bottom w:w="0" w:type="dxa"/>
            <w:right w:w="108" w:type="dxa"/>
          </w:tblCellMar>
        </w:tblPrEx>
        <w:trPr>
          <w:jc w:val="center"/>
        </w:trPr>
        <w:tc>
          <w:tcPr>
            <w:tcW w:w="169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岗位名称</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储备人数</w:t>
            </w:r>
          </w:p>
        </w:tc>
        <w:tc>
          <w:tcPr>
            <w:tcW w:w="153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责任部门</w:t>
            </w:r>
          </w:p>
        </w:tc>
        <w:tc>
          <w:tcPr>
            <w:tcW w:w="196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预计到岗日期</w:t>
            </w:r>
          </w:p>
        </w:tc>
        <w:tc>
          <w:tcPr>
            <w:tcW w:w="129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储备方式</w:t>
            </w:r>
          </w:p>
        </w:tc>
      </w:tr>
      <w:tr>
        <w:tblPrEx>
          <w:tblW w:w="0" w:type="auto"/>
          <w:jc w:val="center"/>
          <w:tblCellMar>
            <w:top w:w="0" w:type="dxa"/>
            <w:left w:w="108" w:type="dxa"/>
            <w:bottom w:w="0" w:type="dxa"/>
            <w:right w:w="108" w:type="dxa"/>
          </w:tblCellMar>
        </w:tblPrEx>
        <w:trPr>
          <w:trHeight w:val="849"/>
          <w:jc w:val="center"/>
        </w:trPr>
        <w:tc>
          <w:tcPr>
            <w:tcW w:w="169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运维项目经理</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3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人力资源部</w:t>
            </w:r>
          </w:p>
        </w:tc>
        <w:tc>
          <w:tcPr>
            <w:tcW w:w="196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2025年3月</w:t>
            </w:r>
          </w:p>
        </w:tc>
        <w:tc>
          <w:tcPr>
            <w:tcW w:w="129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内部培养</w:t>
            </w:r>
          </w:p>
        </w:tc>
      </w:tr>
      <w:tr>
        <w:tblPrEx>
          <w:tblW w:w="0" w:type="auto"/>
          <w:jc w:val="center"/>
          <w:tblCellMar>
            <w:top w:w="0" w:type="dxa"/>
            <w:left w:w="108" w:type="dxa"/>
            <w:bottom w:w="0" w:type="dxa"/>
            <w:right w:w="108" w:type="dxa"/>
          </w:tblCellMar>
        </w:tblPrEx>
        <w:trPr>
          <w:jc w:val="center"/>
        </w:trPr>
        <w:tc>
          <w:tcPr>
            <w:tcW w:w="169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运维项目经理</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33" w:type="dxa"/>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Arial" w:eastAsia="宋体" w:hAnsi="Arial" w:cs="Arial" w:hint="eastAsia"/>
                <w:snapToGrid w:val="0"/>
                <w:color w:val="000000"/>
                <w:spacing w:val="-2"/>
                <w:kern w:val="0"/>
                <w:sz w:val="21"/>
                <w:szCs w:val="21"/>
                <w:vertAlign w:val="baseline"/>
                <w:lang w:val="en-US" w:eastAsia="zh-CN" w:bidi="ar-SA"/>
              </w:rPr>
            </w:pPr>
            <w:r>
              <w:rPr>
                <w:rFonts w:eastAsia="宋体" w:hint="eastAsia"/>
                <w:spacing w:val="-2"/>
                <w:sz w:val="21"/>
                <w:szCs w:val="21"/>
                <w:vertAlign w:val="baseline"/>
                <w:lang w:val="en-US" w:eastAsia="zh-CN"/>
              </w:rPr>
              <w:t>人力资源部</w:t>
            </w:r>
          </w:p>
        </w:tc>
        <w:tc>
          <w:tcPr>
            <w:tcW w:w="196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2025年5月</w:t>
            </w:r>
          </w:p>
        </w:tc>
        <w:tc>
          <w:tcPr>
            <w:tcW w:w="129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内部培养</w:t>
            </w:r>
          </w:p>
        </w:tc>
      </w:tr>
      <w:tr>
        <w:tblPrEx>
          <w:tblW w:w="0" w:type="auto"/>
          <w:jc w:val="center"/>
          <w:tblCellMar>
            <w:top w:w="0" w:type="dxa"/>
            <w:left w:w="108" w:type="dxa"/>
            <w:bottom w:w="0" w:type="dxa"/>
            <w:right w:w="108" w:type="dxa"/>
          </w:tblCellMar>
        </w:tblPrEx>
        <w:trPr>
          <w:jc w:val="center"/>
        </w:trPr>
        <w:tc>
          <w:tcPr>
            <w:tcW w:w="169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运维部经理</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3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人力资源部</w:t>
            </w:r>
          </w:p>
        </w:tc>
        <w:tc>
          <w:tcPr>
            <w:tcW w:w="196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2025年7月</w:t>
            </w:r>
          </w:p>
        </w:tc>
        <w:tc>
          <w:tcPr>
            <w:tcW w:w="1293"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内部培养</w:t>
            </w:r>
          </w:p>
        </w:tc>
      </w:tr>
    </w:tbl>
    <w:p>
      <w:pPr>
        <w:keepNext w:val="0"/>
        <w:keepLines w:val="0"/>
        <w:pageBreakBefore w:val="0"/>
        <w:widowControl w:val="0"/>
        <w:kinsoku w:val="0"/>
        <w:wordWrap/>
        <w:overflowPunct/>
        <w:topLinePunct w:val="0"/>
        <w:autoSpaceDE w:val="0"/>
        <w:autoSpaceDN w:val="0"/>
        <w:bidi w:val="0"/>
        <w:adjustRightInd w:val="0"/>
        <w:snapToGrid w:val="0"/>
      </w:pPr>
    </w:p>
    <w:p>
      <w:pPr>
        <w:pStyle w:val="3"/>
        <w:keepNext w:val="0"/>
        <w:keepLines w:val="0"/>
        <w:pageBreakBefore w:val="0"/>
        <w:widowControl w:val="0"/>
        <w:kinsoku w:val="0"/>
        <w:wordWrap/>
        <w:overflowPunct/>
        <w:topLinePunct w:val="0"/>
        <w:autoSpaceDE w:val="0"/>
        <w:autoSpaceDN w:val="0"/>
        <w:bidi w:val="0"/>
        <w:adjustRightInd w:val="0"/>
        <w:snapToGrid w:val="0"/>
      </w:pPr>
      <w:bookmarkStart w:id="33" w:name="_Toc373"/>
      <w:r>
        <w:t>人员培训</w:t>
      </w:r>
      <w:bookmarkEnd w:id="30"/>
      <w:bookmarkEnd w:id="31"/>
      <w:bookmarkEnd w:id="33"/>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bookmarkStart w:id="34" w:name="bookmark63"/>
      <w:bookmarkEnd w:id="34"/>
      <w:r>
        <w:rPr>
          <w:rFonts w:ascii="宋体" w:eastAsia="宋体" w:hAnsi="宋体" w:cs="宋体"/>
          <w:spacing w:val="-2"/>
          <w:sz w:val="24"/>
          <w:szCs w:val="24"/>
        </w:rPr>
        <w:t>为改善公司各级各类员工的知识结构，提升员工的综合素质，提高员工的工作技能和工作态度，满足公司的快速发展需要，更好的完成公司的各项工作计划与目标。人力资源部根据各部门的培训计划，对计划进行汇总，分类，明确参训对象、培训时间、培训方式，匹配上合适的讲师与培训课程，有效的组织培训。</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z w:val="24"/>
          <w:szCs w:val="24"/>
        </w:rPr>
      </w:pPr>
      <w:r>
        <w:rPr>
          <w:rFonts w:ascii="宋体" w:eastAsia="宋体" w:hAnsi="宋体" w:cs="宋体"/>
          <w:spacing w:val="-2"/>
          <w:sz w:val="24"/>
          <w:szCs w:val="24"/>
        </w:rPr>
        <w:t>培训课程包括通用类、技术类、流程规范类等。</w:t>
      </w:r>
      <w:r>
        <w:rPr>
          <w:rFonts w:ascii="宋体" w:eastAsia="宋体" w:hAnsi="宋体" w:cs="宋体"/>
          <w:spacing w:val="-6"/>
          <w:sz w:val="24"/>
          <w:szCs w:val="24"/>
        </w:rPr>
        <w:t>2025年培训计划如下：</w:t>
      </w:r>
    </w:p>
    <w:tbl>
      <w:tblPr>
        <w:tblStyle w:val="TableNormal"/>
        <w:tblW w:w="6550"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661"/>
        <w:gridCol w:w="2476"/>
        <w:gridCol w:w="1428"/>
        <w:gridCol w:w="1272"/>
        <w:gridCol w:w="713"/>
      </w:tblGrid>
      <w:tr>
        <w:tblPrEx>
          <w:tblW w:w="6550"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248"/>
          <w:jc w:val="center"/>
        </w:trPr>
        <w:tc>
          <w:tcPr>
            <w:tcW w:w="6550" w:type="dxa"/>
            <w:gridSpan w:val="5"/>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sz w:val="16"/>
                <w:szCs w:val="16"/>
                <w:u w:val="none"/>
                <w:lang w:val="en-US" w:eastAsia="zh-CN"/>
              </w:rPr>
              <w:t>人员培训计划</w:t>
            </w:r>
          </w:p>
        </w:tc>
      </w:tr>
      <w:tr>
        <w:tblPrEx>
          <w:tblW w:w="6550" w:type="dxa"/>
          <w:jc w:val="center"/>
          <w:shd w:val="clear" w:color="auto" w:fill="auto"/>
          <w:tblLayout w:type="fixed"/>
          <w:tblCellMar>
            <w:top w:w="0" w:type="dxa"/>
            <w:left w:w="108" w:type="dxa"/>
            <w:bottom w:w="0" w:type="dxa"/>
            <w:right w:w="108" w:type="dxa"/>
          </w:tblCellMar>
        </w:tblPrEx>
        <w:trPr>
          <w:trHeight w:val="288"/>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编号</w:t>
            </w:r>
          </w:p>
        </w:tc>
        <w:tc>
          <w:tcPr>
            <w:tcW w:w="247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培训内容</w:t>
            </w:r>
          </w:p>
        </w:tc>
        <w:tc>
          <w:tcPr>
            <w:tcW w:w="14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培训对象</w:t>
            </w:r>
          </w:p>
        </w:tc>
        <w:tc>
          <w:tcPr>
            <w:tcW w:w="127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培训人员</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时间</w:t>
            </w:r>
          </w:p>
        </w:tc>
      </w:tr>
      <w:tr>
        <w:tblPrEx>
          <w:tblW w:w="6550" w:type="dxa"/>
          <w:jc w:val="center"/>
          <w:shd w:val="clear" w:color="auto" w:fill="auto"/>
          <w:tblLayout w:type="fixed"/>
          <w:tblCellMar>
            <w:top w:w="0" w:type="dxa"/>
            <w:left w:w="108" w:type="dxa"/>
            <w:bottom w:w="0" w:type="dxa"/>
            <w:right w:w="108" w:type="dxa"/>
          </w:tblCellMar>
        </w:tblPrEx>
        <w:trPr>
          <w:trHeight w:val="9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ITSS</w:t>
            </w:r>
            <w:r>
              <w:rPr>
                <w:rStyle w:val="font11"/>
                <w:snapToGrid w:val="0"/>
                <w:color w:val="000000"/>
                <w:lang w:val="en-US" w:eastAsia="zh-CN"/>
              </w:rPr>
              <w:t>标准培训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运服务相关人员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外聘</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1月</w:t>
            </w:r>
          </w:p>
        </w:tc>
      </w:tr>
      <w:tr>
        <w:tblPrEx>
          <w:tblW w:w="6550" w:type="dxa"/>
          <w:jc w:val="center"/>
          <w:shd w:val="clear" w:color="auto" w:fill="auto"/>
          <w:tblLayout w:type="fixed"/>
          <w:tblCellMar>
            <w:top w:w="0" w:type="dxa"/>
            <w:left w:w="108" w:type="dxa"/>
            <w:bottom w:w="0" w:type="dxa"/>
            <w:right w:w="108" w:type="dxa"/>
          </w:tblCellMar>
        </w:tblPrEx>
        <w:trPr>
          <w:trHeight w:val="266"/>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运维服务工具使用</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1月</w:t>
            </w:r>
          </w:p>
        </w:tc>
      </w:tr>
      <w:tr>
        <w:tblPrEx>
          <w:tblW w:w="6550" w:type="dxa"/>
          <w:jc w:val="center"/>
          <w:shd w:val="clear" w:color="auto" w:fill="auto"/>
          <w:tblLayout w:type="fixed"/>
          <w:tblCellMar>
            <w:top w:w="0" w:type="dxa"/>
            <w:left w:w="108" w:type="dxa"/>
            <w:bottom w:w="0" w:type="dxa"/>
            <w:right w:w="108" w:type="dxa"/>
          </w:tblCellMar>
        </w:tblPrEx>
        <w:trPr>
          <w:trHeight w:val="35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color w:val="000000"/>
                <w:sz w:val="16"/>
                <w:szCs w:val="16"/>
                <w:u w:val="none"/>
                <w:lang w:val="en-US"/>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266"/>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30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产品测试用例编写</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23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运维服务服务知识</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全体运维人员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25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运维服务制度</w:t>
            </w:r>
            <w:r>
              <w:rPr>
                <w:rFonts w:ascii="宋体" w:eastAsia="宋体" w:hAnsi="宋体" w:cs="宋体" w:hint="eastAsia"/>
                <w:i w:val="0"/>
                <w:iCs w:val="0"/>
                <w:snapToGrid w:val="0"/>
                <w:color w:val="000000"/>
                <w:kern w:val="0"/>
                <w:sz w:val="16"/>
                <w:szCs w:val="16"/>
                <w:u w:val="none"/>
                <w:lang w:val="en-US" w:eastAsia="zh-CN"/>
              </w:rPr>
              <w:tab/>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各相关部门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3月</w:t>
            </w:r>
          </w:p>
        </w:tc>
      </w:tr>
      <w:tr>
        <w:tblPrEx>
          <w:tblW w:w="6550" w:type="dxa"/>
          <w:jc w:val="center"/>
          <w:shd w:val="clear" w:color="auto" w:fill="auto"/>
          <w:tblLayout w:type="fixed"/>
          <w:tblCellMar>
            <w:top w:w="0" w:type="dxa"/>
            <w:left w:w="108" w:type="dxa"/>
            <w:bottom w:w="0" w:type="dxa"/>
            <w:right w:w="108" w:type="dxa"/>
          </w:tblCellMar>
        </w:tblPrEx>
        <w:trPr>
          <w:trHeight w:val="23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秦立祥</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30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开发规范及代码质量</w:t>
            </w:r>
            <w:r>
              <w:rPr>
                <w:rStyle w:val="font11"/>
                <w:snapToGrid w:val="0"/>
                <w:color w:val="000000"/>
                <w:lang w:val="en-US" w:eastAsia="zh-CN"/>
              </w:rPr>
              <w:t>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秦立祥</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54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信息、数据安全常识</w:t>
            </w:r>
            <w:r>
              <w:rPr>
                <w:rStyle w:val="font11"/>
                <w:snapToGrid w:val="0"/>
                <w:color w:val="000000"/>
                <w:lang w:val="en-US" w:eastAsia="zh-CN"/>
              </w:rPr>
              <w:t>及应对策略</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338"/>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服务台人员操作流程</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326"/>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应急响应规范与应急</w:t>
            </w:r>
            <w:r>
              <w:rPr>
                <w:rStyle w:val="font11"/>
                <w:snapToGrid w:val="0"/>
                <w:color w:val="000000"/>
                <w:lang w:val="en-US" w:eastAsia="zh-CN"/>
              </w:rPr>
              <w:t>预案培训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李平</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31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ITSS</w:t>
            </w:r>
            <w:r>
              <w:rPr>
                <w:rStyle w:val="font11"/>
                <w:snapToGrid w:val="0"/>
                <w:color w:val="000000"/>
                <w:lang w:val="en-US" w:eastAsia="zh-CN"/>
              </w:rPr>
              <w:t>标准培训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运服务相关人员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外聘</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4月</w:t>
            </w:r>
          </w:p>
        </w:tc>
      </w:tr>
      <w:tr>
        <w:tblPrEx>
          <w:tblW w:w="6550" w:type="dxa"/>
          <w:jc w:val="center"/>
          <w:shd w:val="clear" w:color="auto" w:fill="auto"/>
          <w:tblLayout w:type="fixed"/>
          <w:tblCellMar>
            <w:top w:w="0" w:type="dxa"/>
            <w:left w:w="108" w:type="dxa"/>
            <w:bottom w:w="0" w:type="dxa"/>
            <w:right w:w="108" w:type="dxa"/>
          </w:tblCellMar>
        </w:tblPrEx>
        <w:trPr>
          <w:trHeight w:val="24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Style w:val="font11"/>
                <w:rFonts w:hint="eastAsia"/>
                <w:snapToGrid w:val="0"/>
                <w:color w:val="000000"/>
                <w:lang w:val="en-US" w:eastAsia="zh-CN"/>
              </w:rPr>
              <w:t>Vue</w:t>
            </w:r>
            <w:r>
              <w:rPr>
                <w:rStyle w:val="font11"/>
                <w:snapToGrid w:val="0"/>
                <w:color w:val="000000"/>
                <w:lang w:val="en-US" w:eastAsia="zh-CN"/>
              </w:rPr>
              <w:t>前端框架介绍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5月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各模块</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5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数据库规范介绍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IT</w:t>
            </w:r>
            <w:r>
              <w:rPr>
                <w:rStyle w:val="font11"/>
                <w:snapToGrid w:val="0"/>
                <w:color w:val="000000"/>
                <w:lang w:val="en-US" w:eastAsia="zh-CN"/>
              </w:rPr>
              <w:t>服务项目经理</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部分人员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外聘</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运维服务工具使用</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产品服务化规范</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bidi="ar-SA"/>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7月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云数据中心建设模式和网络安全</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7月</w:t>
            </w:r>
          </w:p>
        </w:tc>
      </w:tr>
      <w:tr>
        <w:tblPrEx>
          <w:tblW w:w="6550" w:type="dxa"/>
          <w:jc w:val="center"/>
          <w:shd w:val="clear" w:color="auto" w:fill="auto"/>
          <w:tblLayout w:type="fixed"/>
          <w:tblCellMar>
            <w:top w:w="0" w:type="dxa"/>
            <w:left w:w="108" w:type="dxa"/>
            <w:bottom w:w="0" w:type="dxa"/>
            <w:right w:w="108" w:type="dxa"/>
          </w:tblCellMar>
        </w:tblPrEx>
        <w:trPr>
          <w:trHeight w:val="36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交付规范</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7月</w:t>
            </w:r>
          </w:p>
        </w:tc>
      </w:tr>
      <w:tr>
        <w:tblPrEx>
          <w:tblW w:w="6550" w:type="dxa"/>
          <w:jc w:val="center"/>
          <w:shd w:val="clear" w:color="auto" w:fill="auto"/>
          <w:tblLayout w:type="fixed"/>
          <w:tblCellMar>
            <w:top w:w="0" w:type="dxa"/>
            <w:left w:w="108" w:type="dxa"/>
            <w:bottom w:w="0" w:type="dxa"/>
            <w:right w:w="108" w:type="dxa"/>
          </w:tblCellMar>
        </w:tblPrEx>
        <w:trPr>
          <w:trHeight w:val="278"/>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运维服务制度</w:t>
            </w:r>
            <w:r>
              <w:rPr>
                <w:rFonts w:ascii="宋体" w:eastAsia="宋体" w:hAnsi="宋体" w:cs="宋体" w:hint="eastAsia"/>
                <w:i w:val="0"/>
                <w:iCs w:val="0"/>
                <w:snapToGrid w:val="0"/>
                <w:color w:val="000000"/>
                <w:kern w:val="0"/>
                <w:sz w:val="16"/>
                <w:szCs w:val="16"/>
                <w:u w:val="none"/>
                <w:lang w:val="en-US" w:eastAsia="zh-CN"/>
              </w:rPr>
              <w:tab/>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各相关部门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7月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秦立祥</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8月</w:t>
            </w:r>
          </w:p>
        </w:tc>
      </w:tr>
      <w:tr>
        <w:tblPrEx>
          <w:tblW w:w="6550" w:type="dxa"/>
          <w:jc w:val="center"/>
          <w:shd w:val="clear" w:color="auto" w:fill="auto"/>
          <w:tblLayout w:type="fixed"/>
          <w:tblCellMar>
            <w:top w:w="0" w:type="dxa"/>
            <w:left w:w="108" w:type="dxa"/>
            <w:bottom w:w="0" w:type="dxa"/>
            <w:right w:w="108" w:type="dxa"/>
          </w:tblCellMar>
        </w:tblPrEx>
        <w:trPr>
          <w:trHeight w:val="44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开发规范及代码质量</w:t>
            </w:r>
            <w:r>
              <w:rPr>
                <w:rStyle w:val="font11"/>
                <w:snapToGrid w:val="0"/>
                <w:color w:val="000000"/>
                <w:lang w:val="en-US" w:eastAsia="zh-CN"/>
              </w:rPr>
              <w:t>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秦立祥</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8月</w:t>
            </w:r>
          </w:p>
        </w:tc>
      </w:tr>
      <w:tr>
        <w:tblPrEx>
          <w:tblW w:w="6550" w:type="dxa"/>
          <w:jc w:val="center"/>
          <w:shd w:val="clear" w:color="auto" w:fill="auto"/>
          <w:tblLayout w:type="fixed"/>
          <w:tblCellMar>
            <w:top w:w="0" w:type="dxa"/>
            <w:left w:w="108" w:type="dxa"/>
            <w:bottom w:w="0" w:type="dxa"/>
            <w:right w:w="108" w:type="dxa"/>
          </w:tblCellMar>
        </w:tblPrEx>
        <w:trPr>
          <w:trHeight w:val="9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8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default"/>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信息、数据安全常识</w:t>
            </w:r>
            <w:r>
              <w:rPr>
                <w:rStyle w:val="font11"/>
                <w:snapToGrid w:val="0"/>
                <w:color w:val="000000"/>
                <w:lang w:val="en-US" w:eastAsia="zh-CN"/>
              </w:rPr>
              <w:t>及应对策略</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0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产品测试用例编写</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241"/>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运维服务服务知识</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全体运维人员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04"/>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服务台人员操作流程</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362"/>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应急响应规范与应急</w:t>
            </w:r>
            <w:r>
              <w:rPr>
                <w:rStyle w:val="font11"/>
                <w:snapToGrid w:val="0"/>
                <w:color w:val="000000"/>
                <w:lang w:val="en-US" w:eastAsia="zh-CN"/>
              </w:rPr>
              <w:t>预案培训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李平</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9月</w:t>
            </w:r>
          </w:p>
        </w:tc>
      </w:tr>
      <w:tr>
        <w:tblPrEx>
          <w:tblW w:w="6550" w:type="dxa"/>
          <w:jc w:val="center"/>
          <w:shd w:val="clear" w:color="auto" w:fill="auto"/>
          <w:tblLayout w:type="fixed"/>
          <w:tblCellMar>
            <w:top w:w="0" w:type="dxa"/>
            <w:left w:w="108" w:type="dxa"/>
            <w:bottom w:w="0" w:type="dxa"/>
            <w:right w:w="108" w:type="dxa"/>
          </w:tblCellMar>
        </w:tblPrEx>
        <w:trPr>
          <w:trHeight w:val="255"/>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Style w:val="font11"/>
                <w:rFonts w:hint="eastAsia"/>
                <w:snapToGrid w:val="0"/>
                <w:color w:val="000000"/>
                <w:lang w:val="en-US" w:eastAsia="zh-CN"/>
              </w:rPr>
              <w:t>vue</w:t>
            </w:r>
            <w:r>
              <w:rPr>
                <w:rStyle w:val="font11"/>
                <w:snapToGrid w:val="0"/>
                <w:color w:val="000000"/>
                <w:lang w:val="en-US" w:eastAsia="zh-CN"/>
              </w:rPr>
              <w:t>前端框架介绍</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11月</w:t>
            </w:r>
          </w:p>
        </w:tc>
      </w:tr>
      <w:tr>
        <w:tblPrEx>
          <w:tblW w:w="6550" w:type="dxa"/>
          <w:jc w:val="center"/>
          <w:shd w:val="clear" w:color="auto" w:fill="auto"/>
          <w:tblLayout w:type="fixed"/>
          <w:tblCellMar>
            <w:top w:w="0" w:type="dxa"/>
            <w:left w:w="108" w:type="dxa"/>
            <w:bottom w:w="0" w:type="dxa"/>
            <w:right w:w="108" w:type="dxa"/>
          </w:tblCellMar>
        </w:tblPrEx>
        <w:trPr>
          <w:trHeight w:val="327"/>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r>
      <w:tr>
        <w:tblPrEx>
          <w:tblW w:w="6550" w:type="dxa"/>
          <w:jc w:val="center"/>
          <w:shd w:val="clear" w:color="auto" w:fill="auto"/>
          <w:tblLayout w:type="fixed"/>
          <w:tblCellMar>
            <w:top w:w="0" w:type="dxa"/>
            <w:left w:w="108" w:type="dxa"/>
            <w:bottom w:w="0" w:type="dxa"/>
            <w:right w:w="108" w:type="dxa"/>
          </w:tblCellMar>
        </w:tblPrEx>
        <w:trPr>
          <w:trHeight w:val="256"/>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r>
      <w:tr>
        <w:tblPrEx>
          <w:tblW w:w="6550" w:type="dxa"/>
          <w:jc w:val="center"/>
          <w:shd w:val="clear" w:color="auto" w:fill="auto"/>
          <w:tblLayout w:type="fixed"/>
          <w:tblCellMar>
            <w:top w:w="0" w:type="dxa"/>
            <w:left w:w="108" w:type="dxa"/>
            <w:bottom w:w="0" w:type="dxa"/>
            <w:right w:w="108" w:type="dxa"/>
          </w:tblCellMar>
        </w:tblPrEx>
        <w:trPr>
          <w:trHeight w:val="270"/>
          <w:jc w:val="center"/>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4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2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127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秦立祥</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r>
    </w:tbl>
    <w:p>
      <w:pPr>
        <w:keepNext w:val="0"/>
        <w:keepLines w:val="0"/>
        <w:pageBreakBefore w:val="0"/>
        <w:widowControl w:val="0"/>
        <w:kinsoku w:val="0"/>
        <w:wordWrap/>
        <w:overflowPunct/>
        <w:topLinePunct w:val="0"/>
        <w:autoSpaceDE w:val="0"/>
        <w:autoSpaceDN w:val="0"/>
        <w:bidi w:val="0"/>
        <w:adjustRightInd w:val="0"/>
        <w:snapToGrid w:val="0"/>
        <w:spacing w:line="93" w:lineRule="exact"/>
      </w:pPr>
    </w:p>
    <w:p>
      <w:pPr>
        <w:pStyle w:val="3"/>
        <w:keepNext w:val="0"/>
        <w:keepLines w:val="0"/>
        <w:pageBreakBefore w:val="0"/>
        <w:widowControl w:val="0"/>
        <w:kinsoku w:val="0"/>
        <w:wordWrap/>
        <w:overflowPunct/>
        <w:topLinePunct w:val="0"/>
        <w:autoSpaceDE w:val="0"/>
        <w:autoSpaceDN w:val="0"/>
        <w:bidi w:val="0"/>
        <w:adjustRightInd w:val="0"/>
        <w:snapToGrid w:val="0"/>
      </w:pPr>
      <w:bookmarkStart w:id="35" w:name="_Toc25281"/>
      <w:bookmarkStart w:id="36" w:name="_Toc28693"/>
      <w:bookmarkStart w:id="37" w:name="_Toc9054"/>
      <w:r>
        <w:rPr>
          <w:rFonts w:hint="eastAsia"/>
          <w:lang w:val="en-US" w:eastAsia="zh-CN"/>
        </w:rPr>
        <w:t>备份计划</w:t>
      </w:r>
      <w:bookmarkEnd w:id="35"/>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default"/>
          <w:spacing w:val="-2"/>
          <w:sz w:val="24"/>
          <w:szCs w:val="24"/>
          <w:lang w:val="en-US"/>
        </w:rPr>
      </w:pPr>
      <w:r>
        <w:rPr>
          <w:rFonts w:ascii="宋体" w:eastAsia="宋体" w:hAnsi="宋体" w:cs="宋体" w:hint="eastAsia"/>
          <w:spacing w:val="-2"/>
          <w:sz w:val="24"/>
          <w:szCs w:val="24"/>
          <w:lang w:val="en-US" w:eastAsia="zh-CN"/>
        </w:rPr>
        <w:t>为满足2025年公司运维服务要求，避免重要岗位人员休假导致的工作承接问题，依据《人员备份管理制度》开展工作。保证运维服务工作有序进行。</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38" w:name="_Toc12641"/>
      <w:r>
        <w:t>绩效考核</w:t>
      </w:r>
      <w:bookmarkEnd w:id="36"/>
      <w:bookmarkEnd w:id="37"/>
      <w:bookmarkEnd w:id="38"/>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default"/>
          <w:spacing w:val="-2"/>
          <w:sz w:val="24"/>
          <w:szCs w:val="24"/>
          <w:lang w:val="en-US" w:eastAsia="zh-CN"/>
        </w:rPr>
      </w:pPr>
      <w:bookmarkStart w:id="39" w:name="bookmark64"/>
      <w:bookmarkEnd w:id="39"/>
      <w:r>
        <w:rPr>
          <w:rFonts w:ascii="宋体" w:eastAsia="宋体" w:hAnsi="宋体" w:cs="宋体"/>
          <w:spacing w:val="-2"/>
          <w:sz w:val="24"/>
          <w:szCs w:val="24"/>
        </w:rPr>
        <w:t>为促进和提高公司经营效率，激发员工积极性，了解和考评员工在各考评时段完成的目标及相关职责情况</w:t>
      </w:r>
      <w:r>
        <w:rPr>
          <w:rFonts w:ascii="宋体" w:eastAsia="宋体" w:hAnsi="宋体" w:cs="宋体" w:hint="eastAsia"/>
          <w:spacing w:val="-2"/>
          <w:sz w:val="24"/>
          <w:szCs w:val="24"/>
          <w:lang w:eastAsia="zh-CN"/>
        </w:rPr>
        <w:t>。</w:t>
      </w:r>
      <w:r>
        <w:rPr>
          <w:rFonts w:ascii="宋体" w:eastAsia="宋体" w:hAnsi="宋体" w:cs="宋体" w:hint="eastAsia"/>
          <w:spacing w:val="-2"/>
          <w:sz w:val="24"/>
          <w:szCs w:val="24"/>
          <w:lang w:val="en-US" w:eastAsia="zh-CN"/>
        </w:rPr>
        <w:t>进行月度考核</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月度绩效考评时段为各自然月，绩效考评实施时间为次月 1 日-4 日，遇节假日提前完成，新入职人员当月出勤不满十五天者不参加月度考评，月度考评实施计划如下：</w:t>
      </w:r>
    </w:p>
    <w:tbl>
      <w:tblPr>
        <w:tblStyle w:val="TableNormal0"/>
        <w:tblW w:w="83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666"/>
        <w:gridCol w:w="1326"/>
        <w:gridCol w:w="1041"/>
        <w:gridCol w:w="2241"/>
        <w:gridCol w:w="3047"/>
      </w:tblGrid>
      <w:tr>
        <w:tblPrEx>
          <w:tblW w:w="83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80"/>
          <w:jc w:val="center"/>
        </w:trPr>
        <w:tc>
          <w:tcPr>
            <w:tcW w:w="66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94"/>
              <w:rPr>
                <w:sz w:val="24"/>
                <w:szCs w:val="24"/>
              </w:rPr>
            </w:pPr>
            <w:r>
              <w:rPr>
                <w:b/>
                <w:bCs/>
                <w:spacing w:val="-5"/>
                <w:sz w:val="24"/>
                <w:szCs w:val="24"/>
              </w:rPr>
              <w:t>序号</w:t>
            </w:r>
          </w:p>
        </w:tc>
        <w:tc>
          <w:tcPr>
            <w:tcW w:w="132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84"/>
              <w:rPr>
                <w:sz w:val="24"/>
                <w:szCs w:val="24"/>
              </w:rPr>
            </w:pPr>
            <w:r>
              <w:rPr>
                <w:b/>
                <w:bCs/>
                <w:spacing w:val="-5"/>
                <w:sz w:val="24"/>
                <w:szCs w:val="24"/>
              </w:rPr>
              <w:t>考评工作</w:t>
            </w:r>
          </w:p>
        </w:tc>
        <w:tc>
          <w:tcPr>
            <w:tcW w:w="10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294"/>
              <w:rPr>
                <w:sz w:val="24"/>
                <w:szCs w:val="24"/>
              </w:rPr>
            </w:pPr>
            <w:r>
              <w:rPr>
                <w:b/>
                <w:bCs/>
                <w:spacing w:val="-8"/>
                <w:sz w:val="24"/>
                <w:szCs w:val="24"/>
              </w:rPr>
              <w:t>时间</w:t>
            </w:r>
          </w:p>
        </w:tc>
        <w:tc>
          <w:tcPr>
            <w:tcW w:w="22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53"/>
              <w:rPr>
                <w:sz w:val="24"/>
                <w:szCs w:val="24"/>
              </w:rPr>
            </w:pPr>
            <w:r>
              <w:rPr>
                <w:b/>
                <w:bCs/>
                <w:spacing w:val="-6"/>
                <w:sz w:val="24"/>
                <w:szCs w:val="24"/>
              </w:rPr>
              <w:t>责任部门/人员</w:t>
            </w:r>
          </w:p>
        </w:tc>
        <w:tc>
          <w:tcPr>
            <w:tcW w:w="30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872"/>
              <w:rPr>
                <w:sz w:val="24"/>
                <w:szCs w:val="24"/>
              </w:rPr>
            </w:pPr>
            <w:r>
              <w:rPr>
                <w:b/>
                <w:bCs/>
                <w:spacing w:val="-9"/>
                <w:sz w:val="24"/>
                <w:szCs w:val="24"/>
              </w:rPr>
              <w:t>备</w:t>
            </w:r>
            <w:r>
              <w:rPr>
                <w:spacing w:val="1"/>
                <w:sz w:val="24"/>
                <w:szCs w:val="24"/>
              </w:rPr>
              <w:t xml:space="preserve">       </w:t>
            </w:r>
            <w:r>
              <w:rPr>
                <w:b/>
                <w:bCs/>
                <w:spacing w:val="-9"/>
                <w:sz w:val="24"/>
                <w:szCs w:val="24"/>
              </w:rPr>
              <w:t>注</w:t>
            </w:r>
          </w:p>
        </w:tc>
      </w:tr>
      <w:tr>
        <w:tblPrEx>
          <w:tblW w:w="8321" w:type="dxa"/>
          <w:jc w:val="center"/>
          <w:tblLayout w:type="fixed"/>
          <w:tblCellMar>
            <w:top w:w="0" w:type="dxa"/>
            <w:left w:w="0" w:type="dxa"/>
            <w:bottom w:w="0" w:type="dxa"/>
            <w:right w:w="0" w:type="dxa"/>
          </w:tblCellMar>
        </w:tblPrEx>
        <w:trPr>
          <w:trHeight w:val="738"/>
          <w:jc w:val="center"/>
        </w:trPr>
        <w:tc>
          <w:tcPr>
            <w:tcW w:w="66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83" w:line="241" w:lineRule="auto"/>
              <w:ind w:left="293"/>
              <w:rPr>
                <w:sz w:val="24"/>
                <w:szCs w:val="24"/>
              </w:rPr>
            </w:pPr>
            <w:r>
              <w:rPr>
                <w:sz w:val="24"/>
                <w:szCs w:val="24"/>
              </w:rPr>
              <w:t>1</w:t>
            </w:r>
          </w:p>
        </w:tc>
        <w:tc>
          <w:tcPr>
            <w:tcW w:w="132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4" w:line="202" w:lineRule="auto"/>
              <w:ind w:left="463" w:right="181" w:hanging="270"/>
              <w:rPr>
                <w:sz w:val="24"/>
                <w:szCs w:val="24"/>
              </w:rPr>
            </w:pPr>
            <w:r>
              <w:rPr>
                <w:spacing w:val="-5"/>
                <w:sz w:val="24"/>
                <w:szCs w:val="24"/>
              </w:rPr>
              <w:t>员工总结</w:t>
            </w:r>
            <w:r>
              <w:rPr>
                <w:spacing w:val="-13"/>
                <w:sz w:val="24"/>
                <w:szCs w:val="24"/>
              </w:rPr>
              <w:t>自评</w:t>
            </w:r>
          </w:p>
        </w:tc>
        <w:tc>
          <w:tcPr>
            <w:tcW w:w="10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49" w:line="225" w:lineRule="auto"/>
              <w:ind w:left="301"/>
              <w:rPr>
                <w:sz w:val="24"/>
                <w:szCs w:val="24"/>
              </w:rPr>
            </w:pPr>
            <w:r>
              <w:rPr>
                <w:spacing w:val="-14"/>
                <w:sz w:val="24"/>
                <w:szCs w:val="24"/>
              </w:rPr>
              <w:t>1</w:t>
            </w:r>
            <w:r>
              <w:rPr>
                <w:spacing w:val="50"/>
                <w:sz w:val="24"/>
                <w:szCs w:val="24"/>
              </w:rPr>
              <w:t xml:space="preserve"> </w:t>
            </w:r>
            <w:r>
              <w:rPr>
                <w:spacing w:val="-14"/>
                <w:sz w:val="24"/>
                <w:szCs w:val="24"/>
              </w:rPr>
              <w:t>日</w:t>
            </w:r>
          </w:p>
        </w:tc>
        <w:tc>
          <w:tcPr>
            <w:tcW w:w="22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645"/>
              <w:rPr>
                <w:sz w:val="24"/>
                <w:szCs w:val="24"/>
              </w:rPr>
            </w:pPr>
            <w:r>
              <w:rPr>
                <w:spacing w:val="-2"/>
                <w:sz w:val="24"/>
                <w:szCs w:val="24"/>
              </w:rPr>
              <w:t>被考评人</w:t>
            </w:r>
          </w:p>
        </w:tc>
        <w:tc>
          <w:tcPr>
            <w:tcW w:w="30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12"/>
              <w:rPr>
                <w:sz w:val="24"/>
                <w:szCs w:val="24"/>
              </w:rPr>
            </w:pPr>
            <w:r>
              <w:rPr>
                <w:spacing w:val="-1"/>
                <w:sz w:val="24"/>
                <w:szCs w:val="24"/>
              </w:rPr>
              <w:t>提交《月度绩效考评表》</w:t>
            </w:r>
          </w:p>
        </w:tc>
      </w:tr>
      <w:tr>
        <w:tblPrEx>
          <w:tblW w:w="8321" w:type="dxa"/>
          <w:jc w:val="center"/>
          <w:tblLayout w:type="fixed"/>
          <w:tblCellMar>
            <w:top w:w="0" w:type="dxa"/>
            <w:left w:w="0" w:type="dxa"/>
            <w:bottom w:w="0" w:type="dxa"/>
            <w:right w:w="0" w:type="dxa"/>
          </w:tblCellMar>
        </w:tblPrEx>
        <w:trPr>
          <w:trHeight w:val="846"/>
          <w:jc w:val="center"/>
        </w:trPr>
        <w:tc>
          <w:tcPr>
            <w:tcW w:w="666" w:type="dxa"/>
          </w:tcPr>
          <w:p>
            <w:pPr>
              <w:keepNext w:val="0"/>
              <w:keepLines w:val="0"/>
              <w:pageBreakBefore w:val="0"/>
              <w:widowControl w:val="0"/>
              <w:kinsoku w:val="0"/>
              <w:wordWrap/>
              <w:overflowPunct/>
              <w:topLinePunct w:val="0"/>
              <w:autoSpaceDE w:val="0"/>
              <w:autoSpaceDN w:val="0"/>
              <w:bidi w:val="0"/>
              <w:adjustRightInd w:val="0"/>
              <w:snapToGrid w:val="0"/>
              <w:spacing w:line="255"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41" w:lineRule="auto"/>
              <w:ind w:left="278"/>
              <w:rPr>
                <w:sz w:val="24"/>
                <w:szCs w:val="24"/>
              </w:rPr>
            </w:pPr>
            <w:r>
              <w:rPr>
                <w:sz w:val="24"/>
                <w:szCs w:val="24"/>
              </w:rPr>
              <w:t>2</w:t>
            </w:r>
          </w:p>
        </w:tc>
        <w:tc>
          <w:tcPr>
            <w:tcW w:w="132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52" w:line="218" w:lineRule="auto"/>
              <w:ind w:left="186"/>
              <w:rPr>
                <w:sz w:val="24"/>
                <w:szCs w:val="24"/>
              </w:rPr>
            </w:pPr>
            <w:r>
              <w:rPr>
                <w:spacing w:val="-3"/>
                <w:sz w:val="24"/>
                <w:szCs w:val="24"/>
              </w:rPr>
              <w:t>主管评价</w:t>
            </w:r>
          </w:p>
        </w:tc>
        <w:tc>
          <w:tcPr>
            <w:tcW w:w="10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300" w:line="225" w:lineRule="auto"/>
              <w:ind w:left="166"/>
              <w:rPr>
                <w:sz w:val="24"/>
                <w:szCs w:val="24"/>
              </w:rPr>
            </w:pPr>
            <w:r>
              <w:rPr>
                <w:spacing w:val="-4"/>
                <w:sz w:val="24"/>
                <w:szCs w:val="24"/>
              </w:rPr>
              <w:t>2-3</w:t>
            </w:r>
            <w:r>
              <w:rPr>
                <w:spacing w:val="53"/>
                <w:sz w:val="24"/>
                <w:szCs w:val="24"/>
              </w:rPr>
              <w:t xml:space="preserve"> </w:t>
            </w:r>
            <w:r>
              <w:rPr>
                <w:spacing w:val="-4"/>
                <w:sz w:val="24"/>
                <w:szCs w:val="24"/>
              </w:rPr>
              <w:t>日</w:t>
            </w:r>
          </w:p>
        </w:tc>
        <w:tc>
          <w:tcPr>
            <w:tcW w:w="22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300" w:line="220" w:lineRule="auto"/>
              <w:ind w:left="107"/>
              <w:rPr>
                <w:sz w:val="24"/>
                <w:szCs w:val="24"/>
              </w:rPr>
            </w:pPr>
            <w:r>
              <w:rPr>
                <w:spacing w:val="-2"/>
                <w:sz w:val="24"/>
                <w:szCs w:val="24"/>
              </w:rPr>
              <w:t>直属主管/间接主管</w:t>
            </w:r>
          </w:p>
        </w:tc>
        <w:tc>
          <w:tcPr>
            <w:tcW w:w="30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73" w:lineRule="auto"/>
              <w:ind w:left="14" w:hanging="1"/>
              <w:rPr>
                <w:sz w:val="24"/>
                <w:szCs w:val="24"/>
              </w:rPr>
            </w:pPr>
            <w:r>
              <w:rPr>
                <w:spacing w:val="-2"/>
                <w:sz w:val="24"/>
                <w:szCs w:val="24"/>
              </w:rPr>
              <w:t>直属主管填写评语和考评</w:t>
            </w:r>
            <w:r>
              <w:rPr>
                <w:spacing w:val="47"/>
                <w:sz w:val="24"/>
                <w:szCs w:val="24"/>
              </w:rPr>
              <w:t xml:space="preserve"> </w:t>
            </w:r>
            <w:r>
              <w:rPr>
                <w:spacing w:val="-2"/>
                <w:sz w:val="24"/>
                <w:szCs w:val="24"/>
              </w:rPr>
              <w:t>等级，间接主管确认</w:t>
            </w:r>
          </w:p>
        </w:tc>
      </w:tr>
      <w:tr>
        <w:tblPrEx>
          <w:tblW w:w="8321" w:type="dxa"/>
          <w:jc w:val="center"/>
          <w:tblLayout w:type="fixed"/>
          <w:tblCellMar>
            <w:top w:w="0" w:type="dxa"/>
            <w:left w:w="0" w:type="dxa"/>
            <w:bottom w:w="0" w:type="dxa"/>
            <w:right w:w="0" w:type="dxa"/>
          </w:tblCellMar>
        </w:tblPrEx>
        <w:trPr>
          <w:trHeight w:val="694"/>
          <w:jc w:val="center"/>
        </w:trPr>
        <w:tc>
          <w:tcPr>
            <w:tcW w:w="66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62"/>
              <w:ind w:left="280"/>
              <w:outlineLvl w:val="2"/>
              <w:rPr>
                <w:sz w:val="24"/>
                <w:szCs w:val="24"/>
              </w:rPr>
            </w:pPr>
            <w:bookmarkStart w:id="40" w:name="bookmark65"/>
            <w:bookmarkEnd w:id="40"/>
            <w:bookmarkStart w:id="41" w:name="_Toc10852"/>
            <w:bookmarkStart w:id="42" w:name="_Toc13521"/>
            <w:bookmarkStart w:id="43" w:name="_Toc6180"/>
            <w:r>
              <w:rPr>
                <w:sz w:val="24"/>
                <w:szCs w:val="24"/>
              </w:rPr>
              <w:t>3</w:t>
            </w:r>
            <w:bookmarkEnd w:id="41"/>
            <w:bookmarkEnd w:id="42"/>
            <w:bookmarkEnd w:id="43"/>
          </w:p>
        </w:tc>
        <w:tc>
          <w:tcPr>
            <w:tcW w:w="132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29" w:line="220" w:lineRule="auto"/>
              <w:ind w:left="186"/>
              <w:rPr>
                <w:sz w:val="24"/>
                <w:szCs w:val="24"/>
              </w:rPr>
            </w:pPr>
            <w:r>
              <w:rPr>
                <w:spacing w:val="-3"/>
                <w:sz w:val="24"/>
                <w:szCs w:val="24"/>
              </w:rPr>
              <w:t>成绩汇总</w:t>
            </w:r>
          </w:p>
        </w:tc>
        <w:tc>
          <w:tcPr>
            <w:tcW w:w="10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28" w:line="225" w:lineRule="auto"/>
              <w:ind w:left="282"/>
              <w:rPr>
                <w:sz w:val="24"/>
                <w:szCs w:val="24"/>
              </w:rPr>
            </w:pPr>
            <w:r>
              <w:rPr>
                <w:spacing w:val="-5"/>
                <w:sz w:val="24"/>
                <w:szCs w:val="24"/>
              </w:rPr>
              <w:t>4</w:t>
            </w:r>
            <w:r>
              <w:rPr>
                <w:spacing w:val="51"/>
                <w:sz w:val="24"/>
                <w:szCs w:val="24"/>
              </w:rPr>
              <w:t xml:space="preserve"> </w:t>
            </w:r>
            <w:r>
              <w:rPr>
                <w:spacing w:val="-5"/>
                <w:sz w:val="24"/>
                <w:szCs w:val="24"/>
              </w:rPr>
              <w:t>日</w:t>
            </w:r>
          </w:p>
        </w:tc>
        <w:tc>
          <w:tcPr>
            <w:tcW w:w="224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527"/>
              <w:rPr>
                <w:sz w:val="24"/>
                <w:szCs w:val="24"/>
              </w:rPr>
            </w:pPr>
            <w:r>
              <w:rPr>
                <w:spacing w:val="-2"/>
                <w:sz w:val="24"/>
                <w:szCs w:val="24"/>
              </w:rPr>
              <w:t>人力资源部</w:t>
            </w:r>
          </w:p>
        </w:tc>
        <w:tc>
          <w:tcPr>
            <w:tcW w:w="304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11"/>
              <w:rPr>
                <w:sz w:val="24"/>
                <w:szCs w:val="24"/>
              </w:rPr>
            </w:pPr>
            <w:r>
              <w:rPr>
                <w:spacing w:val="-2"/>
                <w:sz w:val="24"/>
                <w:szCs w:val="24"/>
              </w:rPr>
              <w:t>汇总考核成绩</w:t>
            </w:r>
          </w:p>
        </w:tc>
      </w:tr>
    </w:tbl>
    <w:p>
      <w:pPr>
        <w:pStyle w:val="3"/>
        <w:keepNext w:val="0"/>
        <w:keepLines w:val="0"/>
        <w:pageBreakBefore w:val="0"/>
        <w:widowControl w:val="0"/>
        <w:kinsoku w:val="0"/>
        <w:wordWrap/>
        <w:overflowPunct/>
        <w:topLinePunct w:val="0"/>
        <w:autoSpaceDE w:val="0"/>
        <w:autoSpaceDN w:val="0"/>
        <w:bidi w:val="0"/>
        <w:adjustRightInd w:val="0"/>
        <w:snapToGrid w:val="0"/>
      </w:pPr>
      <w:bookmarkStart w:id="44" w:name="_Toc11623"/>
      <w:bookmarkStart w:id="45" w:name="_Toc21869"/>
      <w:bookmarkStart w:id="46" w:name="_Toc7790"/>
      <w:r>
        <w:rPr>
          <w:rFonts w:hint="eastAsia"/>
          <w:lang w:val="en-US" w:eastAsia="zh-CN"/>
        </w:rPr>
        <w:t>技能评价</w:t>
      </w:r>
      <w:bookmarkEnd w:id="44"/>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pPr>
      <w:r>
        <w:rPr>
          <w:rFonts w:ascii="宋体" w:eastAsia="宋体" w:hAnsi="宋体" w:cs="宋体" w:hint="eastAsia"/>
          <w:spacing w:val="-1"/>
          <w:sz w:val="24"/>
          <w:szCs w:val="24"/>
          <w:lang w:val="en-US" w:eastAsia="zh-CN"/>
        </w:rPr>
        <w:t>依据《技能评价管理制度》技能评价于12月第一周进行。</w:t>
      </w:r>
    </w:p>
    <w:p>
      <w:pPr>
        <w:pStyle w:val="1"/>
        <w:keepNext w:val="0"/>
        <w:keepLines w:val="0"/>
        <w:pageBreakBefore w:val="0"/>
        <w:widowControl w:val="0"/>
        <w:shd w:val="clear" w:color="auto" w:fill="auto"/>
        <w:kinsoku w:val="0"/>
        <w:wordWrap/>
        <w:overflowPunct/>
        <w:topLinePunct w:val="0"/>
        <w:autoSpaceDE w:val="0"/>
        <w:autoSpaceDN w:val="0"/>
        <w:bidi w:val="0"/>
        <w:adjustRightInd w:val="0"/>
        <w:snapToGrid w:val="0"/>
      </w:pPr>
      <w:bookmarkStart w:id="47" w:name="_Toc3244"/>
      <w:r>
        <w:t>资源方面</w:t>
      </w:r>
      <w:bookmarkEnd w:id="45"/>
      <w:bookmarkEnd w:id="46"/>
      <w:bookmarkEnd w:id="47"/>
    </w:p>
    <w:p>
      <w:pPr>
        <w:pStyle w:val="2"/>
        <w:keepNext w:val="0"/>
        <w:keepLines w:val="0"/>
        <w:pageBreakBefore w:val="0"/>
        <w:widowControl w:val="0"/>
        <w:kinsoku w:val="0"/>
        <w:wordWrap/>
        <w:overflowPunct/>
        <w:topLinePunct w:val="0"/>
        <w:autoSpaceDE w:val="0"/>
        <w:autoSpaceDN w:val="0"/>
        <w:bidi w:val="0"/>
        <w:adjustRightInd w:val="0"/>
        <w:snapToGrid w:val="0"/>
      </w:pPr>
      <w:bookmarkStart w:id="48" w:name="_Toc24225"/>
      <w:r>
        <w:t>现状分析</w:t>
      </w:r>
      <w:bookmarkEnd w:id="48"/>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pacing w:val="-2"/>
          <w:sz w:val="24"/>
          <w:szCs w:val="24"/>
        </w:rPr>
      </w:pPr>
      <w:r>
        <w:rPr>
          <w:rFonts w:ascii="宋体" w:eastAsia="宋体" w:hAnsi="宋体" w:cs="宋体"/>
          <w:spacing w:val="-2"/>
          <w:sz w:val="24"/>
          <w:szCs w:val="24"/>
        </w:rPr>
        <w:t>经过多年的运行和发展，运维服务团队结合客户业务运维的特点，已形成一套适合我司信息化发展特点的</w:t>
      </w:r>
      <w:r>
        <w:rPr>
          <w:rFonts w:ascii="宋体" w:eastAsia="宋体" w:hAnsi="宋体" w:cs="宋体" w:hint="eastAsia"/>
          <w:spacing w:val="-2"/>
          <w:sz w:val="24"/>
          <w:szCs w:val="24"/>
          <w:lang w:val="en-US" w:eastAsia="zh-CN"/>
        </w:rPr>
        <w:t>资源</w:t>
      </w:r>
      <w:r>
        <w:rPr>
          <w:rFonts w:ascii="宋体" w:eastAsia="宋体" w:hAnsi="宋体" w:cs="宋体"/>
          <w:spacing w:val="-2"/>
          <w:sz w:val="24"/>
          <w:szCs w:val="24"/>
        </w:rPr>
        <w:t>管理规范，包括</w:t>
      </w:r>
      <w:r>
        <w:rPr>
          <w:rFonts w:ascii="宋体" w:eastAsia="宋体" w:hAnsi="宋体" w:cs="宋体" w:hint="eastAsia"/>
          <w:spacing w:val="-2"/>
          <w:sz w:val="24"/>
          <w:szCs w:val="24"/>
          <w:lang w:val="en-US" w:eastAsia="zh-CN"/>
        </w:rPr>
        <w:t>运维工具、服务台、备件库、知识库、最终软件库和服务数据</w:t>
      </w:r>
      <w:r>
        <w:rPr>
          <w:rFonts w:ascii="宋体" w:eastAsia="宋体" w:hAnsi="宋体" w:cs="宋体"/>
          <w:spacing w:val="-2"/>
          <w:sz w:val="24"/>
          <w:szCs w:val="24"/>
        </w:rPr>
        <w:t xml:space="preserve">。现需要对这 </w:t>
      </w:r>
      <w:r>
        <w:rPr>
          <w:rFonts w:ascii="宋体" w:eastAsia="宋体" w:hAnsi="宋体" w:cs="宋体" w:hint="eastAsia"/>
          <w:spacing w:val="-2"/>
          <w:sz w:val="24"/>
          <w:szCs w:val="24"/>
          <w:lang w:val="en-US" w:eastAsia="zh-CN"/>
        </w:rPr>
        <w:t>6</w:t>
      </w:r>
      <w:r>
        <w:rPr>
          <w:rFonts w:ascii="宋体" w:eastAsia="宋体" w:hAnsi="宋体" w:cs="宋体"/>
          <w:spacing w:val="-2"/>
          <w:sz w:val="24"/>
          <w:szCs w:val="24"/>
        </w:rPr>
        <w:t xml:space="preserve"> 个</w:t>
      </w:r>
      <w:r>
        <w:rPr>
          <w:rFonts w:ascii="宋体" w:eastAsia="宋体" w:hAnsi="宋体" w:cs="宋体" w:hint="eastAsia"/>
          <w:spacing w:val="-2"/>
          <w:sz w:val="24"/>
          <w:szCs w:val="24"/>
          <w:lang w:val="en-US" w:eastAsia="zh-CN"/>
        </w:rPr>
        <w:t>资源</w:t>
      </w:r>
      <w:r>
        <w:rPr>
          <w:rFonts w:ascii="宋体" w:eastAsia="宋体" w:hAnsi="宋体" w:cs="宋体"/>
          <w:spacing w:val="-2"/>
          <w:sz w:val="24"/>
          <w:szCs w:val="24"/>
        </w:rPr>
        <w:t>进行持续落实与优化，持续改进</w:t>
      </w:r>
      <w:r>
        <w:rPr>
          <w:rFonts w:ascii="宋体" w:eastAsia="宋体" w:hAnsi="宋体" w:cs="宋体" w:hint="eastAsia"/>
          <w:spacing w:val="-2"/>
          <w:sz w:val="24"/>
          <w:szCs w:val="24"/>
          <w:lang w:val="en-US" w:eastAsia="zh-CN"/>
        </w:rPr>
        <w:t>最终软件库、服务数据</w:t>
      </w:r>
      <w:r>
        <w:rPr>
          <w:rFonts w:ascii="宋体" w:eastAsia="宋体" w:hAnsi="宋体" w:cs="宋体"/>
          <w:spacing w:val="-2"/>
          <w:sz w:val="24"/>
          <w:szCs w:val="24"/>
        </w:rPr>
        <w:t>等</w:t>
      </w:r>
      <w:r>
        <w:rPr>
          <w:rFonts w:ascii="宋体" w:eastAsia="宋体" w:hAnsi="宋体" w:cs="宋体" w:hint="eastAsia"/>
          <w:spacing w:val="-2"/>
          <w:sz w:val="24"/>
          <w:szCs w:val="24"/>
          <w:lang w:val="en-US" w:eastAsia="zh-CN"/>
        </w:rPr>
        <w:t>资源</w:t>
      </w:r>
      <w:r>
        <w:rPr>
          <w:rFonts w:ascii="宋体" w:eastAsia="宋体" w:hAnsi="宋体" w:cs="宋体"/>
          <w:spacing w:val="-2"/>
          <w:sz w:val="24"/>
          <w:szCs w:val="24"/>
        </w:rPr>
        <w:t>，以便在符合业务运行情况下满足ITSS相关要求。</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49" w:name="_Toc29348"/>
      <w:r>
        <w:rPr>
          <w:rFonts w:hint="eastAsia"/>
          <w:lang w:val="en-US" w:eastAsia="zh-CN"/>
        </w:rPr>
        <w:t>改进目标</w:t>
      </w:r>
      <w:bookmarkEnd w:id="49"/>
    </w:p>
    <w:p>
      <w:pPr>
        <w:pStyle w:val="3"/>
        <w:keepNext w:val="0"/>
        <w:keepLines w:val="0"/>
        <w:pageBreakBefore w:val="0"/>
        <w:widowControl w:val="0"/>
        <w:kinsoku w:val="0"/>
        <w:wordWrap/>
        <w:overflowPunct/>
        <w:topLinePunct w:val="0"/>
        <w:autoSpaceDE w:val="0"/>
        <w:autoSpaceDN w:val="0"/>
        <w:bidi w:val="0"/>
        <w:adjustRightInd w:val="0"/>
        <w:snapToGrid w:val="0"/>
      </w:pPr>
      <w:bookmarkStart w:id="50" w:name="_Toc19811"/>
      <w:r>
        <w:t>运维工具</w:t>
      </w:r>
      <w:bookmarkEnd w:id="50"/>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为了提高公司运维服务管理的效率和质量，落实运维工具使用，与运维工具研发团队沟通运维管理平台优化方案；定期对运维工具进行使用情况评估。</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51" w:name="_Toc7036"/>
      <w:r>
        <w:t>服务台建设</w:t>
      </w:r>
      <w:bookmarkEnd w:id="51"/>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计划在 2025年度中，严格要求服务台人员的操作，并完成服务请求应答工作，并优化服务台人员的绩效考核指标并按照考核周期进行考核。对服务台人员录入事件的完整性按季度进行考核，目标值为≥95%。保证服务台人员适合其岗位能力的要求，持续改进服务台的服务水平，对服务台人员加强业务培训，持续提高一线业务解决率。</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52" w:name="_Toc28193"/>
      <w:r>
        <w:t>备品备件</w:t>
      </w:r>
      <w:bookmarkEnd w:id="52"/>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sz w:val="24"/>
          <w:szCs w:val="24"/>
        </w:rPr>
      </w:pPr>
      <w:r>
        <w:rPr>
          <w:rFonts w:ascii="宋体" w:eastAsia="宋体" w:hAnsi="宋体" w:cs="宋体" w:hint="eastAsia"/>
          <w:spacing w:val="-2"/>
          <w:sz w:val="24"/>
          <w:szCs w:val="24"/>
          <w:lang w:val="en-US" w:eastAsia="zh-CN"/>
        </w:rPr>
        <w:t>计划在2025年度中，对备件库管理表单进行优化、发布，做好备件采购、报废处理以及供应商评估等工作。备件管理员对库存备件持续定期进行盘点,盘点范围包括：单、物相符，要求库存备件数据准确率能够达到≥99%，且备件可用率达到 95%的目标值。</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53" w:name="_Toc30609"/>
      <w:r>
        <w:t>知识库</w:t>
      </w:r>
      <w:bookmarkEnd w:id="53"/>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在2025年度中，持续对运维相关人员进行运维服务知识库的培训，并根据业务、项目对知识进行有效的分类、索引，以便于为事件和问题处理提供有效的、可用的、系统化的知识。另外，对知识条目进行重新梳理分类，根据知识条目的具体内容和信息安全要求，设置信息安全权限，设定灵活的搜索、查询功能，并且对条目的使用进行实用性评估。并且对知识库的管理指标为：季度新增知识条目≥40 条。</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54" w:name="_Toc28309"/>
      <w:r>
        <w:rPr>
          <w:rFonts w:hint="eastAsia"/>
          <w:lang w:val="en-US" w:eastAsia="zh-CN"/>
        </w:rPr>
        <w:t>最终软件库</w:t>
      </w:r>
      <w:bookmarkEnd w:id="54"/>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both"/>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严格按照最终软件库管理制度开展工作,提高公司运维服务管理的效率和质量，软件版本正确率达到95%以上。</w:t>
      </w:r>
    </w:p>
    <w:p>
      <w:pPr>
        <w:pStyle w:val="3"/>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bookmarkStart w:id="55" w:name="_Toc18752"/>
      <w:r>
        <w:rPr>
          <w:rFonts w:hint="eastAsia"/>
          <w:lang w:val="en-US" w:eastAsia="zh-CN"/>
        </w:rPr>
        <w:t>服务数据</w:t>
      </w:r>
      <w:bookmarkEnd w:id="55"/>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pPr>
      <w:r>
        <w:rPr>
          <w:rFonts w:ascii="宋体" w:eastAsia="宋体" w:hAnsi="宋体" w:cs="宋体" w:hint="eastAsia"/>
          <w:spacing w:val="-2"/>
          <w:sz w:val="24"/>
          <w:szCs w:val="24"/>
          <w:lang w:val="en-US" w:eastAsia="zh-CN"/>
        </w:rPr>
        <w:t>严格按照服务数据管理规范进行数据出入库管理,提高公司运维服务管理的效率和质量，服务数据评估次数每季度至少进行一次。</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56" w:name="_Toc19718"/>
      <w:r>
        <w:rPr>
          <w:rFonts w:hint="eastAsia"/>
          <w:lang w:val="en-US" w:eastAsia="zh-CN"/>
        </w:rPr>
        <w:t>实施计划</w:t>
      </w:r>
      <w:bookmarkEnd w:id="56"/>
    </w:p>
    <w:tbl>
      <w:tblPr>
        <w:tblStyle w:val="TableNormal0"/>
        <w:tblW w:w="9359"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661"/>
        <w:gridCol w:w="1598"/>
        <w:gridCol w:w="1099"/>
        <w:gridCol w:w="3001"/>
      </w:tblGrid>
      <w:tr>
        <w:tblPrEx>
          <w:tblW w:w="9359"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93"/>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2" w:lineRule="auto"/>
              <w:ind w:left="1635"/>
              <w:rPr>
                <w:sz w:val="20"/>
                <w:szCs w:val="20"/>
              </w:rPr>
            </w:pPr>
            <w:bookmarkStart w:id="57" w:name="_Toc28221"/>
            <w:bookmarkStart w:id="58" w:name="_Toc12586"/>
            <w:r>
              <w:rPr>
                <w:b/>
                <w:bCs/>
                <w:spacing w:val="-5"/>
                <w:sz w:val="20"/>
                <w:szCs w:val="20"/>
              </w:rPr>
              <w:t>名称</w:t>
            </w:r>
          </w:p>
        </w:tc>
        <w:tc>
          <w:tcPr>
            <w:tcW w:w="159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201"/>
              <w:rPr>
                <w:sz w:val="20"/>
                <w:szCs w:val="20"/>
              </w:rPr>
            </w:pPr>
            <w:r>
              <w:rPr>
                <w:b/>
                <w:bCs/>
                <w:spacing w:val="-4"/>
                <w:sz w:val="20"/>
                <w:szCs w:val="20"/>
              </w:rPr>
              <w:t>计划实施时间</w:t>
            </w:r>
          </w:p>
        </w:tc>
        <w:tc>
          <w:tcPr>
            <w:tcW w:w="1099"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61"/>
              <w:rPr>
                <w:sz w:val="20"/>
                <w:szCs w:val="20"/>
              </w:rPr>
            </w:pPr>
            <w:r>
              <w:rPr>
                <w:b/>
                <w:bCs/>
                <w:spacing w:val="-6"/>
                <w:sz w:val="20"/>
                <w:szCs w:val="20"/>
              </w:rPr>
              <w:t>负责部门</w:t>
            </w:r>
          </w:p>
        </w:tc>
        <w:tc>
          <w:tcPr>
            <w:tcW w:w="300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206"/>
              <w:rPr>
                <w:sz w:val="20"/>
                <w:szCs w:val="20"/>
              </w:rPr>
            </w:pPr>
            <w:r>
              <w:rPr>
                <w:b/>
                <w:bCs/>
                <w:spacing w:val="-5"/>
                <w:sz w:val="20"/>
                <w:szCs w:val="20"/>
              </w:rPr>
              <w:t>成果物</w:t>
            </w:r>
          </w:p>
        </w:tc>
      </w:tr>
      <w:tr>
        <w:tblPrEx>
          <w:tblW w:w="9359" w:type="dxa"/>
          <w:tblInd w:w="33" w:type="dxa"/>
          <w:tblLayout w:type="fixed"/>
          <w:tblCellMar>
            <w:top w:w="0" w:type="dxa"/>
            <w:left w:w="0" w:type="dxa"/>
            <w:bottom w:w="0" w:type="dxa"/>
            <w:right w:w="0" w:type="dxa"/>
          </w:tblCellMar>
        </w:tblPrEx>
        <w:trPr>
          <w:trHeight w:val="488"/>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1" w:line="221" w:lineRule="auto"/>
              <w:ind w:left="114"/>
              <w:rPr>
                <w:sz w:val="20"/>
                <w:szCs w:val="20"/>
              </w:rPr>
            </w:pPr>
            <w:r>
              <w:rPr>
                <w:b/>
                <w:bCs/>
                <w:spacing w:val="-7"/>
                <w:sz w:val="20"/>
                <w:szCs w:val="20"/>
              </w:rPr>
              <w:t>一、工具</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运维工具的使用培训</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jc w:val="center"/>
              <w:rPr>
                <w:rFonts w:eastAsia="宋体" w:hint="default"/>
                <w:sz w:val="20"/>
                <w:szCs w:val="20"/>
                <w:lang w:val="en-US" w:eastAsia="zh-CN"/>
              </w:rPr>
            </w:pPr>
            <w:r>
              <w:rPr>
                <w:rFonts w:hint="eastAsia"/>
                <w:spacing w:val="-5"/>
                <w:sz w:val="20"/>
                <w:szCs w:val="20"/>
                <w:lang w:val="en-US" w:eastAsia="zh-CN"/>
              </w:rPr>
              <w:t>1月、6月</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人力资源部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运维工具的持续改进</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《360安全云数字协作平台-工单二次开发-需求规格书》</w:t>
            </w:r>
          </w:p>
        </w:tc>
      </w:tr>
      <w:tr>
        <w:tblPrEx>
          <w:tblW w:w="9359" w:type="dxa"/>
          <w:tblInd w:w="33" w:type="dxa"/>
          <w:tblLayout w:type="fixed"/>
          <w:tblCellMar>
            <w:top w:w="0" w:type="dxa"/>
            <w:left w:w="0" w:type="dxa"/>
            <w:bottom w:w="0" w:type="dxa"/>
            <w:right w:w="0" w:type="dxa"/>
          </w:tblCellMar>
        </w:tblPrEx>
        <w:trPr>
          <w:trHeight w:val="488"/>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14"/>
              <w:rPr>
                <w:sz w:val="20"/>
                <w:szCs w:val="20"/>
              </w:rPr>
            </w:pPr>
            <w:r>
              <w:rPr>
                <w:b/>
                <w:bCs/>
                <w:spacing w:val="-4"/>
                <w:sz w:val="20"/>
                <w:szCs w:val="20"/>
              </w:rPr>
              <w:t>二、服务台</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优化服务台人员的绩效考核指标</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1月上旬</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服务台人员绩效考核表</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09"/>
              <w:rPr>
                <w:sz w:val="20"/>
                <w:szCs w:val="20"/>
              </w:rPr>
            </w:pPr>
            <w:r>
              <w:rPr>
                <w:spacing w:val="-1"/>
                <w:sz w:val="20"/>
                <w:szCs w:val="20"/>
              </w:rPr>
              <w:t>跟踪考核季度录入事件的完整性</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事件过程相关记录</w:t>
            </w:r>
          </w:p>
        </w:tc>
      </w:tr>
      <w:tr>
        <w:tblPrEx>
          <w:tblW w:w="9359" w:type="dxa"/>
          <w:tblInd w:w="33" w:type="dxa"/>
          <w:tblLayout w:type="fixed"/>
          <w:tblCellMar>
            <w:top w:w="0" w:type="dxa"/>
            <w:left w:w="0" w:type="dxa"/>
            <w:bottom w:w="0" w:type="dxa"/>
            <w:right w:w="0" w:type="dxa"/>
          </w:tblCellMar>
        </w:tblPrEx>
        <w:trPr>
          <w:trHeight w:val="982"/>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1"/>
                <w:sz w:val="20"/>
                <w:szCs w:val="20"/>
              </w:rPr>
              <w:t>“服务台人员操作流程</w:t>
            </w:r>
            <w:r>
              <w:rPr>
                <w:spacing w:val="-73"/>
                <w:sz w:val="20"/>
                <w:szCs w:val="20"/>
              </w:rPr>
              <w:t xml:space="preserve"> </w:t>
            </w:r>
            <w:r>
              <w:rPr>
                <w:spacing w:val="-1"/>
                <w:sz w:val="20"/>
                <w:szCs w:val="20"/>
              </w:rPr>
              <w:t>”的培训</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0"/>
              <w:rPr>
                <w:sz w:val="20"/>
                <w:szCs w:val="20"/>
              </w:rPr>
            </w:pPr>
            <w:r>
              <w:rPr>
                <w:spacing w:val="-4"/>
                <w:sz w:val="20"/>
                <w:szCs w:val="20"/>
              </w:rPr>
              <w:t>4</w:t>
            </w:r>
            <w:r>
              <w:rPr>
                <w:spacing w:val="-38"/>
                <w:sz w:val="20"/>
                <w:szCs w:val="20"/>
              </w:rPr>
              <w:t xml:space="preserve"> </w:t>
            </w:r>
            <w:r>
              <w:rPr>
                <w:spacing w:val="-4"/>
                <w:sz w:val="20"/>
                <w:szCs w:val="20"/>
              </w:rPr>
              <w:t>月、9</w:t>
            </w:r>
            <w:r>
              <w:rPr>
                <w:spacing w:val="-38"/>
                <w:sz w:val="20"/>
                <w:szCs w:val="20"/>
              </w:rPr>
              <w:t xml:space="preserve"> </w:t>
            </w:r>
            <w:r>
              <w:rPr>
                <w:spacing w:val="-4"/>
                <w:sz w:val="20"/>
                <w:szCs w:val="20"/>
              </w:rPr>
              <w:t>月</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人力资源部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494"/>
        </w:trPr>
        <w:tc>
          <w:tcPr>
            <w:tcW w:w="3661" w:type="dxa"/>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10"/>
              <w:rPr>
                <w:sz w:val="20"/>
                <w:szCs w:val="20"/>
              </w:rPr>
            </w:pPr>
            <w:r>
              <w:rPr>
                <w:b/>
                <w:bCs/>
                <w:spacing w:val="-4"/>
                <w:sz w:val="20"/>
                <w:szCs w:val="20"/>
              </w:rPr>
              <w:t>三、备品备件库</w:t>
            </w:r>
          </w:p>
        </w:tc>
        <w:tc>
          <w:tcPr>
            <w:tcW w:w="1598" w:type="dxa"/>
            <w:tcBorders>
              <w:top w:val="nil"/>
            </w:tcBorders>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Borders>
              <w:top w:val="nil"/>
            </w:tcBorders>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p>
        </w:tc>
        <w:tc>
          <w:tcPr>
            <w:tcW w:w="3001" w:type="dxa"/>
            <w:tcBorders>
              <w:top w:val="nil"/>
            </w:tcBorders>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1"/>
                <w:sz w:val="20"/>
                <w:szCs w:val="20"/>
              </w:rPr>
              <w:t>备件库管理表单优化、发布</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17"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w:t>
            </w:r>
            <w:r>
              <w:rPr>
                <w:spacing w:val="-38"/>
                <w:sz w:val="20"/>
                <w:szCs w:val="20"/>
              </w:rPr>
              <w:t xml:space="preserve"> </w:t>
            </w:r>
            <w:r>
              <w:rPr>
                <w:spacing w:val="-8"/>
                <w:sz w:val="20"/>
                <w:szCs w:val="20"/>
              </w:rPr>
              <w:t>月上旬</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《备品备件管理记录》</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1"/>
                <w:sz w:val="20"/>
                <w:szCs w:val="20"/>
              </w:rPr>
              <w:t>备件库盘点、溢余与短缺情况分析</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《备件盘点表》</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2"/>
                <w:sz w:val="20"/>
                <w:szCs w:val="20"/>
              </w:rPr>
              <w:t>备件抽检</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《抽检报告》</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2"/>
                <w:sz w:val="20"/>
                <w:szCs w:val="20"/>
              </w:rPr>
              <w:t>备件采购、报废处理</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《采购记录》《报废记录》</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18" w:lineRule="auto"/>
              <w:ind w:left="110"/>
              <w:rPr>
                <w:sz w:val="20"/>
                <w:szCs w:val="20"/>
              </w:rPr>
            </w:pPr>
            <w:r>
              <w:rPr>
                <w:spacing w:val="-2"/>
                <w:sz w:val="20"/>
                <w:szCs w:val="20"/>
              </w:rPr>
              <w:t>供应商评估</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31"/>
              <w:rPr>
                <w:sz w:val="20"/>
                <w:szCs w:val="20"/>
              </w:rPr>
            </w:pPr>
            <w:r>
              <w:rPr>
                <w:spacing w:val="-13"/>
                <w:sz w:val="20"/>
                <w:szCs w:val="20"/>
              </w:rPr>
              <w:t>7</w:t>
            </w:r>
            <w:r>
              <w:rPr>
                <w:spacing w:val="-38"/>
                <w:sz w:val="20"/>
                <w:szCs w:val="20"/>
              </w:rPr>
              <w:t xml:space="preserve"> </w:t>
            </w:r>
            <w:r>
              <w:rPr>
                <w:spacing w:val="-13"/>
                <w:sz w:val="20"/>
                <w:szCs w:val="20"/>
              </w:rPr>
              <w:t>月</w:t>
            </w:r>
            <w:r>
              <w:rPr>
                <w:spacing w:val="-27"/>
                <w:sz w:val="20"/>
                <w:szCs w:val="20"/>
              </w:rPr>
              <w:t xml:space="preserve"> </w:t>
            </w:r>
            <w:r>
              <w:rPr>
                <w:spacing w:val="-13"/>
                <w:sz w:val="20"/>
                <w:szCs w:val="20"/>
              </w:rPr>
              <w:t>1 日前</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《合格供应商清单》</w:t>
            </w:r>
          </w:p>
        </w:tc>
      </w:tr>
      <w:tr>
        <w:tblPrEx>
          <w:tblW w:w="9359" w:type="dxa"/>
          <w:tblInd w:w="33" w:type="dxa"/>
          <w:tblLayout w:type="fixed"/>
          <w:tblCellMar>
            <w:top w:w="0" w:type="dxa"/>
            <w:left w:w="0" w:type="dxa"/>
            <w:bottom w:w="0" w:type="dxa"/>
            <w:right w:w="0" w:type="dxa"/>
          </w:tblCellMar>
        </w:tblPrEx>
        <w:trPr>
          <w:trHeight w:val="488"/>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rPr>
                <w:rFonts w:eastAsia="宋体" w:hint="eastAsia"/>
                <w:sz w:val="20"/>
                <w:szCs w:val="20"/>
                <w:lang w:val="en-US" w:eastAsia="zh-CN"/>
              </w:rPr>
            </w:pPr>
            <w:r>
              <w:rPr>
                <w:b/>
                <w:bCs/>
                <w:spacing w:val="-7"/>
                <w:sz w:val="20"/>
                <w:szCs w:val="20"/>
              </w:rPr>
              <w:t>四、</w:t>
            </w:r>
            <w:r>
              <w:rPr>
                <w:rFonts w:hint="eastAsia"/>
                <w:b/>
                <w:bCs/>
                <w:spacing w:val="-7"/>
                <w:sz w:val="20"/>
                <w:szCs w:val="20"/>
                <w:lang w:val="en-US" w:eastAsia="zh-CN"/>
              </w:rPr>
              <w:t>服务知识</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tc>
      </w:tr>
      <w:tr>
        <w:tblPrEx>
          <w:tblW w:w="9359" w:type="dxa"/>
          <w:tblInd w:w="33" w:type="dxa"/>
          <w:tblLayout w:type="fixed"/>
          <w:tblCellMar>
            <w:top w:w="0" w:type="dxa"/>
            <w:left w:w="0" w:type="dxa"/>
            <w:bottom w:w="0" w:type="dxa"/>
            <w:right w:w="0" w:type="dxa"/>
          </w:tblCellMar>
        </w:tblPrEx>
        <w:trPr>
          <w:trHeight w:val="977"/>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118" w:right="148" w:hanging="8"/>
              <w:rPr>
                <w:sz w:val="20"/>
                <w:szCs w:val="20"/>
              </w:rPr>
            </w:pPr>
            <w:r>
              <w:rPr>
                <w:spacing w:val="-1"/>
                <w:sz w:val="20"/>
                <w:szCs w:val="20"/>
              </w:rPr>
              <w:t>对已有</w:t>
            </w:r>
            <w:r>
              <w:rPr>
                <w:rFonts w:hint="eastAsia"/>
                <w:spacing w:val="-1"/>
                <w:sz w:val="20"/>
                <w:szCs w:val="20"/>
                <w:lang w:val="en-US" w:eastAsia="zh-CN"/>
              </w:rPr>
              <w:t>服务知识</w:t>
            </w:r>
            <w:r>
              <w:rPr>
                <w:spacing w:val="-1"/>
                <w:sz w:val="20"/>
                <w:szCs w:val="20"/>
              </w:rPr>
              <w:t>进行评审，确定相关人</w:t>
            </w:r>
            <w:r>
              <w:rPr>
                <w:spacing w:val="-2"/>
                <w:sz w:val="20"/>
                <w:szCs w:val="20"/>
              </w:rPr>
              <w:t>员职责及其权限分配与提供</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3"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w:t>
            </w:r>
            <w:r>
              <w:rPr>
                <w:spacing w:val="-38"/>
                <w:sz w:val="20"/>
                <w:szCs w:val="20"/>
              </w:rPr>
              <w:t xml:space="preserve"> </w:t>
            </w:r>
            <w:r>
              <w:rPr>
                <w:spacing w:val="-8"/>
                <w:sz w:val="20"/>
                <w:szCs w:val="20"/>
              </w:rPr>
              <w:t>月上旬</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vMerge w:val="restart"/>
            <w:tcBorders>
              <w:bottom w:val="nil"/>
            </w:tcBorders>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《知识库评审表》</w:t>
            </w:r>
          </w:p>
        </w:tc>
      </w:tr>
      <w:tr>
        <w:tblPrEx>
          <w:tblW w:w="9359" w:type="dxa"/>
          <w:tblInd w:w="33" w:type="dxa"/>
          <w:tblLayout w:type="fixed"/>
          <w:tblCellMar>
            <w:top w:w="0" w:type="dxa"/>
            <w:left w:w="0" w:type="dxa"/>
            <w:bottom w:w="0" w:type="dxa"/>
            <w:right w:w="0" w:type="dxa"/>
          </w:tblCellMar>
        </w:tblPrEx>
        <w:trPr>
          <w:trHeight w:val="977"/>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rPr>
                <w:rFonts w:eastAsia="宋体" w:hint="default"/>
                <w:sz w:val="20"/>
                <w:szCs w:val="20"/>
                <w:lang w:val="en-US" w:eastAsia="zh-CN"/>
              </w:rPr>
            </w:pPr>
            <w:r>
              <w:rPr>
                <w:rFonts w:hint="eastAsia"/>
                <w:sz w:val="20"/>
                <w:szCs w:val="20"/>
                <w:lang w:val="en-US" w:eastAsia="zh-CN"/>
              </w:rPr>
              <w:t>服务知识录入条数统计</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54"/>
              <w:rPr>
                <w:rFonts w:hint="default"/>
                <w:sz w:val="20"/>
                <w:szCs w:val="20"/>
                <w:lang w:val="en-US"/>
              </w:rPr>
            </w:pPr>
            <w:r>
              <w:rPr>
                <w:rFonts w:hint="eastAsia"/>
                <w:spacing w:val="-3"/>
                <w:sz w:val="20"/>
                <w:szCs w:val="20"/>
                <w:lang w:val="en-US" w:eastAsia="zh-CN"/>
              </w:rPr>
              <w:t>次/季</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vMerge/>
            <w:tcBorders>
              <w:top w:val="nil"/>
            </w:tcBorders>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tc>
      </w:tr>
      <w:tr>
        <w:tblPrEx>
          <w:tblW w:w="9359" w:type="dxa"/>
          <w:tblInd w:w="33" w:type="dxa"/>
          <w:tblLayout w:type="fixed"/>
          <w:tblCellMar>
            <w:top w:w="0" w:type="dxa"/>
            <w:left w:w="0" w:type="dxa"/>
            <w:bottom w:w="0" w:type="dxa"/>
            <w:right w:w="0" w:type="dxa"/>
          </w:tblCellMar>
        </w:tblPrEx>
        <w:trPr>
          <w:trHeight w:val="1466"/>
        </w:trPr>
        <w:tc>
          <w:tcPr>
            <w:tcW w:w="366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9" w:line="402" w:lineRule="auto"/>
              <w:ind w:left="114"/>
              <w:jc w:val="both"/>
              <w:rPr>
                <w:sz w:val="20"/>
                <w:szCs w:val="20"/>
              </w:rPr>
            </w:pPr>
            <w:r>
              <w:rPr>
                <w:spacing w:val="-4"/>
                <w:sz w:val="20"/>
                <w:szCs w:val="20"/>
              </w:rPr>
              <w:t>原有知识整理、按分类进行梳理、审核、</w:t>
            </w:r>
            <w:r>
              <w:rPr>
                <w:spacing w:val="-2"/>
                <w:sz w:val="20"/>
                <w:szCs w:val="20"/>
              </w:rPr>
              <w:t>知识积累，并在应用过程中总结与持续</w:t>
            </w:r>
            <w:r>
              <w:rPr>
                <w:spacing w:val="-4"/>
                <w:sz w:val="20"/>
                <w:szCs w:val="20"/>
              </w:rPr>
              <w:t>改进</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知识库应用过程相关文档</w:t>
            </w:r>
          </w:p>
        </w:tc>
      </w:tr>
      <w:tr>
        <w:tblPrEx>
          <w:tblW w:w="9359" w:type="dxa"/>
          <w:tblInd w:w="33" w:type="dxa"/>
          <w:tblLayout w:type="fixed"/>
          <w:tblCellMar>
            <w:top w:w="0" w:type="dxa"/>
            <w:left w:w="0" w:type="dxa"/>
            <w:bottom w:w="0" w:type="dxa"/>
            <w:right w:w="0" w:type="dxa"/>
          </w:tblCellMar>
        </w:tblPrEx>
        <w:trPr>
          <w:trHeight w:val="982"/>
        </w:trPr>
        <w:tc>
          <w:tcPr>
            <w:tcW w:w="3661" w:type="dxa"/>
          </w:tcPr>
          <w:p>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2"/>
                <w:sz w:val="20"/>
                <w:szCs w:val="20"/>
              </w:rPr>
              <w:t>“运维服务</w:t>
            </w:r>
            <w:r>
              <w:rPr>
                <w:rFonts w:hint="eastAsia"/>
                <w:spacing w:val="-2"/>
                <w:sz w:val="20"/>
                <w:szCs w:val="20"/>
                <w:lang w:val="en-US" w:eastAsia="zh-CN"/>
              </w:rPr>
              <w:t>服务知识</w:t>
            </w:r>
            <w:r>
              <w:rPr>
                <w:spacing w:val="-63"/>
                <w:sz w:val="20"/>
                <w:szCs w:val="20"/>
              </w:rPr>
              <w:t xml:space="preserve"> </w:t>
            </w:r>
            <w:r>
              <w:rPr>
                <w:spacing w:val="-2"/>
                <w:sz w:val="20"/>
                <w:szCs w:val="20"/>
              </w:rPr>
              <w:t>”的培训</w:t>
            </w:r>
          </w:p>
        </w:tc>
        <w:tc>
          <w:tcPr>
            <w:tcW w:w="1598" w:type="dxa"/>
          </w:tcPr>
          <w:p>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5"/>
              <w:rPr>
                <w:sz w:val="20"/>
                <w:szCs w:val="20"/>
              </w:rPr>
            </w:pPr>
            <w:r>
              <w:rPr>
                <w:spacing w:val="-5"/>
                <w:sz w:val="20"/>
                <w:szCs w:val="20"/>
              </w:rPr>
              <w:t>3</w:t>
            </w:r>
            <w:r>
              <w:rPr>
                <w:spacing w:val="-38"/>
                <w:sz w:val="20"/>
                <w:szCs w:val="20"/>
              </w:rPr>
              <w:t xml:space="preserve"> </w:t>
            </w:r>
            <w:r>
              <w:rPr>
                <w:spacing w:val="-5"/>
                <w:sz w:val="20"/>
                <w:szCs w:val="20"/>
              </w:rPr>
              <w:t>月、9</w:t>
            </w:r>
            <w:r>
              <w:rPr>
                <w:spacing w:val="-38"/>
                <w:sz w:val="20"/>
                <w:szCs w:val="20"/>
              </w:rPr>
              <w:t xml:space="preserve"> </w:t>
            </w:r>
            <w:r>
              <w:rPr>
                <w:spacing w:val="-5"/>
                <w:sz w:val="20"/>
                <w:szCs w:val="20"/>
              </w:rPr>
              <w:t>月</w:t>
            </w:r>
          </w:p>
        </w:tc>
        <w:tc>
          <w:tcPr>
            <w:tcW w:w="1099"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人力资源部</w:t>
            </w:r>
          </w:p>
        </w:tc>
        <w:tc>
          <w:tcPr>
            <w:tcW w:w="3001" w:type="dxa"/>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p>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ascii="宋体" w:eastAsia="宋体" w:hAnsi="宋体" w:cs="宋体" w:hint="default"/>
                <w:snapToGrid w:val="0"/>
                <w:color w:val="000000"/>
                <w:kern w:val="0"/>
                <w:sz w:val="20"/>
                <w:szCs w:val="20"/>
                <w:lang w:val="en-US" w:eastAsia="zh-CN" w:bidi="ar-SA"/>
              </w:rPr>
            </w:pPr>
            <w:r>
              <w:rPr>
                <w:rFonts w:hint="eastAsia"/>
                <w:b/>
                <w:bCs/>
                <w:spacing w:val="-7"/>
                <w:sz w:val="20"/>
                <w:szCs w:val="20"/>
                <w:lang w:val="en-US" w:eastAsia="zh-CN"/>
              </w:rPr>
              <w:t>五</w:t>
            </w:r>
            <w:r>
              <w:rPr>
                <w:b/>
                <w:bCs/>
                <w:spacing w:val="-7"/>
                <w:sz w:val="20"/>
                <w:szCs w:val="20"/>
              </w:rPr>
              <w:t>、</w:t>
            </w:r>
            <w:r>
              <w:rPr>
                <w:rFonts w:hint="eastAsia"/>
                <w:b/>
                <w:bCs/>
                <w:spacing w:val="-7"/>
                <w:sz w:val="20"/>
                <w:szCs w:val="20"/>
                <w:lang w:val="en-US" w:eastAsia="zh-CN"/>
              </w:rPr>
              <w:t>最终软件库</w:t>
            </w:r>
          </w:p>
        </w:tc>
        <w:tc>
          <w:tcPr>
            <w:tcW w:w="159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Arial" w:hAnsi="Arial" w:cs="Arial"/>
                <w:snapToGrid w:val="0"/>
                <w:color w:val="000000"/>
                <w:kern w:val="0"/>
                <w:sz w:val="21"/>
                <w:szCs w:val="21"/>
                <w:lang w:val="en-US" w:eastAsia="en-US" w:bidi="ar-SA"/>
              </w:rPr>
            </w:pP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Arial" w:hAnsi="Arial" w:cs="Arial"/>
                <w:snapToGrid w:val="0"/>
                <w:color w:val="000000"/>
                <w:kern w:val="0"/>
                <w:sz w:val="21"/>
                <w:szCs w:val="21"/>
                <w:lang w:val="en-US" w:eastAsia="en-US" w:bidi="ar-SA"/>
              </w:rPr>
            </w:pP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en-US" w:bidi="ar-SA"/>
              </w:rPr>
            </w:pP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b/>
                <w:bCs/>
                <w:spacing w:val="-7"/>
                <w:sz w:val="20"/>
                <w:szCs w:val="20"/>
                <w:lang w:val="en-US" w:eastAsia="zh-CN"/>
              </w:rPr>
            </w:pPr>
            <w:r>
              <w:rPr>
                <w:spacing w:val="-2"/>
                <w:sz w:val="20"/>
                <w:szCs w:val="20"/>
              </w:rPr>
              <w:t>“</w:t>
            </w:r>
            <w:r>
              <w:rPr>
                <w:rFonts w:hint="eastAsia"/>
                <w:spacing w:val="-2"/>
                <w:sz w:val="20"/>
                <w:szCs w:val="20"/>
                <w:lang w:val="en-US" w:eastAsia="zh-CN"/>
              </w:rPr>
              <w:t>版本管理工具</w:t>
            </w:r>
            <w:r>
              <w:rPr>
                <w:spacing w:val="-2"/>
                <w:sz w:val="20"/>
                <w:szCs w:val="20"/>
              </w:rPr>
              <w:t>”的培训</w:t>
            </w:r>
          </w:p>
        </w:tc>
        <w:tc>
          <w:tcPr>
            <w:tcW w:w="1598"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ascii="Arial" w:eastAsia="宋体" w:hAnsi="Arial" w:cs="Arial" w:hint="default"/>
                <w:snapToGrid w:val="0"/>
                <w:color w:val="000000"/>
                <w:kern w:val="0"/>
                <w:sz w:val="21"/>
                <w:szCs w:val="21"/>
                <w:lang w:val="en-US" w:eastAsia="zh-CN" w:bidi="ar-SA"/>
              </w:rPr>
            </w:pPr>
            <w:r>
              <w:rPr>
                <w:spacing w:val="-2"/>
                <w:sz w:val="20"/>
                <w:szCs w:val="20"/>
              </w:rPr>
              <w:t>1 月上旬</w:t>
            </w: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宋体" w:hAnsi="Arial" w:cs="Arial" w:hint="default"/>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eastAsia="宋体" w:hint="default"/>
                <w:spacing w:val="-2"/>
                <w:sz w:val="20"/>
                <w:szCs w:val="20"/>
                <w:lang w:val="en-US" w:eastAsia="zh-CN"/>
              </w:rPr>
            </w:pPr>
            <w:r>
              <w:rPr>
                <w:rFonts w:hint="eastAsia"/>
                <w:spacing w:val="-2"/>
                <w:sz w:val="20"/>
                <w:szCs w:val="20"/>
                <w:lang w:val="en-US" w:eastAsia="zh-CN"/>
              </w:rPr>
              <w:t>软件版本正确率审核</w:t>
            </w:r>
          </w:p>
        </w:tc>
        <w:tc>
          <w:tcPr>
            <w:tcW w:w="1598"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eastAsia="宋体" w:hint="default"/>
                <w:spacing w:val="-2"/>
                <w:sz w:val="20"/>
                <w:szCs w:val="20"/>
                <w:lang w:val="en-US" w:eastAsia="zh-CN"/>
              </w:rPr>
            </w:pPr>
            <w:r>
              <w:rPr>
                <w:rFonts w:hint="eastAsia"/>
                <w:spacing w:val="-2"/>
                <w:sz w:val="20"/>
                <w:szCs w:val="20"/>
                <w:lang w:val="en-US" w:eastAsia="zh-CN"/>
              </w:rPr>
              <w:t>季/次</w:t>
            </w: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eastAsia="宋体" w:cs="Arial" w:hint="eastAsia"/>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运维部</w:t>
            </w: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default"/>
                <w:snapToGrid w:val="0"/>
                <w:color w:val="000000"/>
                <w:kern w:val="0"/>
                <w:sz w:val="21"/>
                <w:szCs w:val="21"/>
                <w:lang w:val="en-US" w:eastAsia="zh-CN" w:bidi="ar-SA"/>
              </w:rPr>
            </w:pPr>
            <w:r>
              <w:rPr>
                <w:rFonts w:eastAsia="宋体" w:cs="Arial" w:hint="eastAsia"/>
                <w:snapToGrid w:val="0"/>
                <w:color w:val="000000"/>
                <w:kern w:val="0"/>
                <w:sz w:val="21"/>
                <w:szCs w:val="21"/>
                <w:lang w:val="en-US" w:eastAsia="zh-CN" w:bidi="ar-SA"/>
              </w:rPr>
              <w:t>《最终软件库应用情况说明》</w:t>
            </w: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eastAsia="宋体" w:hint="default"/>
                <w:b/>
                <w:bCs/>
                <w:spacing w:val="-7"/>
                <w:sz w:val="20"/>
                <w:szCs w:val="20"/>
                <w:lang w:val="en-US" w:eastAsia="zh-CN"/>
              </w:rPr>
            </w:pPr>
            <w:r>
              <w:rPr>
                <w:rFonts w:hint="eastAsia"/>
                <w:b/>
                <w:bCs/>
                <w:spacing w:val="-7"/>
                <w:sz w:val="20"/>
                <w:szCs w:val="20"/>
                <w:lang w:val="en-US" w:eastAsia="zh-CN"/>
              </w:rPr>
              <w:t>六、服务数据</w:t>
            </w:r>
          </w:p>
        </w:tc>
        <w:tc>
          <w:tcPr>
            <w:tcW w:w="159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Arial" w:hAnsi="Arial" w:cs="Arial"/>
                <w:snapToGrid w:val="0"/>
                <w:color w:val="000000"/>
                <w:kern w:val="0"/>
                <w:sz w:val="21"/>
                <w:szCs w:val="21"/>
                <w:lang w:val="en-US" w:eastAsia="en-US" w:bidi="ar-SA"/>
              </w:rPr>
            </w:pP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Arial" w:hAnsi="Arial" w:cs="Arial"/>
                <w:snapToGrid w:val="0"/>
                <w:color w:val="000000"/>
                <w:kern w:val="0"/>
                <w:sz w:val="21"/>
                <w:szCs w:val="21"/>
                <w:lang w:val="en-US" w:eastAsia="en-US" w:bidi="ar-SA"/>
              </w:rPr>
            </w:pP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en-US" w:bidi="ar-SA"/>
              </w:rPr>
            </w:pP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ascii="宋体" w:eastAsia="宋体" w:hAnsi="宋体" w:cs="宋体" w:hint="default"/>
                <w:b/>
                <w:bCs/>
                <w:snapToGrid w:val="0"/>
                <w:color w:val="000000"/>
                <w:spacing w:val="-7"/>
                <w:kern w:val="0"/>
                <w:sz w:val="20"/>
                <w:szCs w:val="20"/>
                <w:lang w:val="en-US" w:eastAsia="zh-CN" w:bidi="ar-SA"/>
              </w:rPr>
            </w:pPr>
            <w:r>
              <w:rPr>
                <w:rFonts w:hint="eastAsia"/>
                <w:spacing w:val="-2"/>
                <w:sz w:val="20"/>
                <w:szCs w:val="20"/>
                <w:lang w:val="en-US" w:eastAsia="zh-CN"/>
              </w:rPr>
              <w:t>服务数据管理制度培训</w:t>
            </w:r>
          </w:p>
        </w:tc>
        <w:tc>
          <w:tcPr>
            <w:tcW w:w="1598"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leftChars="0" w:rightChars="0" w:firstLineChars="0"/>
              <w:rPr>
                <w:rFonts w:ascii="Arial" w:eastAsia="宋体" w:hAnsi="Arial" w:cs="Arial" w:hint="default"/>
                <w:snapToGrid w:val="0"/>
                <w:color w:val="000000"/>
                <w:kern w:val="0"/>
                <w:sz w:val="21"/>
                <w:szCs w:val="21"/>
                <w:lang w:val="en-US" w:eastAsia="en-US" w:bidi="ar-SA"/>
              </w:rPr>
            </w:pPr>
            <w:r>
              <w:rPr>
                <w:spacing w:val="-2"/>
                <w:sz w:val="20"/>
                <w:szCs w:val="20"/>
              </w:rPr>
              <w:t>1月上旬</w:t>
            </w: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宋体" w:hAnsi="Arial" w:cs="Arial" w:hint="default"/>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运维部</w:t>
            </w: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eastAsia"/>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培训记录</w:t>
            </w:r>
          </w:p>
        </w:tc>
      </w:tr>
      <w:tr>
        <w:tblPrEx>
          <w:tblW w:w="9359" w:type="dxa"/>
          <w:tblInd w:w="33" w:type="dxa"/>
          <w:tblLayout w:type="fixed"/>
          <w:tblCellMar>
            <w:top w:w="0" w:type="dxa"/>
            <w:left w:w="0" w:type="dxa"/>
            <w:bottom w:w="0" w:type="dxa"/>
            <w:right w:w="0" w:type="dxa"/>
          </w:tblCellMar>
        </w:tblPrEx>
        <w:trPr>
          <w:trHeight w:val="90"/>
        </w:trPr>
        <w:tc>
          <w:tcPr>
            <w:tcW w:w="3661"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ascii="宋体" w:eastAsia="宋体" w:hAnsi="宋体" w:cs="宋体" w:hint="default"/>
                <w:snapToGrid w:val="0"/>
                <w:color w:val="000000"/>
                <w:spacing w:val="-2"/>
                <w:kern w:val="0"/>
                <w:sz w:val="20"/>
                <w:szCs w:val="20"/>
                <w:lang w:val="en-US" w:eastAsia="zh-CN" w:bidi="ar-SA"/>
              </w:rPr>
            </w:pPr>
            <w:r>
              <w:rPr>
                <w:rFonts w:hint="eastAsia"/>
                <w:spacing w:val="-2"/>
                <w:sz w:val="20"/>
                <w:szCs w:val="20"/>
                <w:lang w:val="en-US" w:eastAsia="zh-CN"/>
              </w:rPr>
              <w:t>服务数据分析利用次数</w:t>
            </w:r>
          </w:p>
        </w:tc>
        <w:tc>
          <w:tcPr>
            <w:tcW w:w="1598"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leftChars="0" w:rightChars="0" w:firstLineChars="0"/>
              <w:rPr>
                <w:rFonts w:ascii="宋体" w:eastAsia="宋体" w:hAnsi="宋体" w:cs="宋体" w:hint="default"/>
                <w:snapToGrid w:val="0"/>
                <w:color w:val="000000"/>
                <w:spacing w:val="-2"/>
                <w:kern w:val="0"/>
                <w:sz w:val="20"/>
                <w:szCs w:val="20"/>
                <w:lang w:val="en-US" w:eastAsia="en-US" w:bidi="ar-SA"/>
              </w:rPr>
            </w:pPr>
            <w:r>
              <w:rPr>
                <w:rFonts w:hint="eastAsia"/>
                <w:spacing w:val="-3"/>
                <w:sz w:val="20"/>
                <w:szCs w:val="20"/>
                <w:lang w:val="en-US" w:eastAsia="zh-CN"/>
              </w:rPr>
              <w:t>次/季度</w:t>
            </w:r>
          </w:p>
        </w:tc>
        <w:tc>
          <w:tcPr>
            <w:tcW w:w="109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Arial" w:eastAsia="宋体" w:hAnsi="Arial" w:cs="Arial" w:hint="eastAsia"/>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运维部</w:t>
            </w:r>
          </w:p>
        </w:tc>
        <w:tc>
          <w:tcPr>
            <w:tcW w:w="300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center"/>
              <w:rPr>
                <w:rFonts w:eastAsia="宋体" w:cs="Arial" w:hint="default"/>
                <w:snapToGrid w:val="0"/>
                <w:color w:val="000000"/>
                <w:kern w:val="0"/>
                <w:sz w:val="21"/>
                <w:szCs w:val="21"/>
                <w:lang w:val="en-US" w:eastAsia="en-US" w:bidi="ar-SA"/>
              </w:rPr>
            </w:pPr>
            <w:r>
              <w:rPr>
                <w:rFonts w:eastAsia="宋体" w:cs="Arial" w:hint="eastAsia"/>
                <w:snapToGrid w:val="0"/>
                <w:color w:val="000000"/>
                <w:kern w:val="0"/>
                <w:sz w:val="21"/>
                <w:szCs w:val="21"/>
                <w:lang w:val="en-US" w:eastAsia="zh-CN" w:bidi="ar-SA"/>
              </w:rPr>
              <w:t>《服务数据分析报告》</w:t>
            </w:r>
          </w:p>
        </w:tc>
      </w:tr>
    </w:tbl>
    <w:p>
      <w:pPr>
        <w:pStyle w:val="1"/>
        <w:keepNext w:val="0"/>
        <w:keepLines w:val="0"/>
        <w:pageBreakBefore w:val="0"/>
        <w:widowControl w:val="0"/>
        <w:kinsoku w:val="0"/>
        <w:wordWrap/>
        <w:overflowPunct/>
        <w:topLinePunct w:val="0"/>
        <w:autoSpaceDE w:val="0"/>
        <w:autoSpaceDN w:val="0"/>
        <w:bidi w:val="0"/>
        <w:adjustRightInd w:val="0"/>
        <w:snapToGrid w:val="0"/>
      </w:pPr>
      <w:bookmarkStart w:id="59" w:name="_Toc19852"/>
      <w:r>
        <w:t>技术方面</w:t>
      </w:r>
      <w:bookmarkEnd w:id="57"/>
      <w:bookmarkEnd w:id="58"/>
      <w:bookmarkEnd w:id="59"/>
    </w:p>
    <w:p>
      <w:pPr>
        <w:pStyle w:val="2"/>
        <w:keepNext w:val="0"/>
        <w:keepLines w:val="0"/>
        <w:pageBreakBefore w:val="0"/>
        <w:widowControl w:val="0"/>
        <w:kinsoku w:val="0"/>
        <w:wordWrap/>
        <w:overflowPunct/>
        <w:topLinePunct w:val="0"/>
        <w:autoSpaceDE w:val="0"/>
        <w:autoSpaceDN w:val="0"/>
        <w:bidi w:val="0"/>
        <w:adjustRightInd w:val="0"/>
        <w:snapToGrid w:val="0"/>
      </w:pPr>
      <w:bookmarkStart w:id="60" w:name="bookmark68"/>
      <w:bookmarkEnd w:id="60"/>
      <w:bookmarkStart w:id="61" w:name="_Toc13246"/>
      <w:bookmarkStart w:id="62" w:name="_Toc24673"/>
      <w:bookmarkStart w:id="63" w:name="_Toc4835"/>
      <w:r>
        <w:t>现状分析</w:t>
      </w:r>
      <w:bookmarkEnd w:id="61"/>
      <w:bookmarkEnd w:id="62"/>
      <w:bookmarkEnd w:id="63"/>
    </w:p>
    <w:p>
      <w:pPr>
        <w:pStyle w:val="a"/>
        <w:rPr>
          <w:rFonts w:hint="eastAsia"/>
        </w:rPr>
      </w:pPr>
      <w:r>
        <w:rPr>
          <w:rFonts w:hint="eastAsia"/>
        </w:rPr>
        <w:t>目前投入使用的360安全云数字协作平台总体功能框架较为完善，但其具体功能模块与操作流程在设计上未能充分贴合运维服务人员的实际工作场景与高频使用习惯。平台在任务分派协同、知识库集成调用、移动端快捷处理等关键细节上存在适配不足，导致运维人员在日常工作中需进行冗余操作或跨平台处理，客观上增加了工作复杂度，影响了工作效率与体验。</w:t>
      </w:r>
    </w:p>
    <w:p>
      <w:pPr>
        <w:pStyle w:val="2"/>
        <w:bidi w:val="0"/>
        <w:rPr>
          <w:rFonts w:hint="eastAsia"/>
          <w:lang w:val="en-US" w:eastAsia="zh-CN"/>
        </w:rPr>
      </w:pPr>
      <w:bookmarkStart w:id="64" w:name="_Toc28374"/>
      <w:r>
        <w:rPr>
          <w:rFonts w:hint="eastAsia"/>
          <w:lang w:val="en-US" w:eastAsia="zh-CN"/>
        </w:rPr>
        <w:t>改进目标</w:t>
      </w:r>
      <w:bookmarkEnd w:id="64"/>
    </w:p>
    <w:p>
      <w:pPr>
        <w:pStyle w:val="a"/>
        <w:rPr>
          <w:rFonts w:hint="eastAsia"/>
          <w:lang w:val="en-US" w:eastAsia="zh-CN"/>
        </w:rPr>
      </w:pPr>
      <w:r>
        <w:rPr>
          <w:rFonts w:hint="eastAsia"/>
          <w:lang w:val="en-US" w:eastAsia="zh-CN"/>
        </w:rPr>
        <w:t>为精准匹配运维服务业务场景，降低操作复杂度，显著提升运维团队工作效率与协同体验，公司决定启动针对该平台的专项二次开发。本次开发旨在对现有平台进行场景化优化与功能增强，使其更贴合运维工作流，实现“平台赋能业务”的目标。</w:t>
      </w:r>
    </w:p>
    <w:p>
      <w:pPr>
        <w:pStyle w:val="2"/>
        <w:bidi w:val="0"/>
        <w:rPr>
          <w:rFonts w:hint="default"/>
          <w:lang w:val="en-US" w:eastAsia="zh-CN"/>
        </w:rPr>
      </w:pPr>
      <w:bookmarkStart w:id="65" w:name="_Toc5386"/>
      <w:r>
        <w:rPr>
          <w:rFonts w:hint="eastAsia"/>
          <w:lang w:val="en-US" w:eastAsia="zh-CN"/>
        </w:rPr>
        <w:t>实施计划</w:t>
      </w:r>
      <w:bookmarkEnd w:id="65"/>
    </w:p>
    <w:p>
      <w:pPr>
        <w:pStyle w:val="a"/>
        <w:rPr>
          <w:rFonts w:hint="default"/>
          <w:lang w:val="en-US" w:eastAsia="zh-CN"/>
        </w:rPr>
      </w:pPr>
      <w:r>
        <w:rPr>
          <w:rFonts w:hint="default"/>
          <w:lang w:val="en-US" w:eastAsia="zh-CN"/>
        </w:rPr>
        <w:t>本次二次开发将依据《运维服务技术研发规划》系统推进。计划将围绕需求细化、功能设计、迭代开发、测试上线及培训推广等关键阶段展开，确保开发成果能有效落地并服务于运维团队的实际工作。详细的任务排期、资源分配与技术方案请参见该规划文档。</w:t>
      </w:r>
    </w:p>
    <w:p>
      <w:pPr>
        <w:pStyle w:val="1"/>
        <w:keepNext w:val="0"/>
        <w:keepLines w:val="0"/>
        <w:pageBreakBefore w:val="0"/>
        <w:widowControl w:val="0"/>
        <w:kinsoku w:val="0"/>
        <w:wordWrap/>
        <w:overflowPunct/>
        <w:topLinePunct w:val="0"/>
        <w:autoSpaceDE w:val="0"/>
        <w:autoSpaceDN w:val="0"/>
        <w:bidi w:val="0"/>
        <w:adjustRightInd w:val="0"/>
        <w:snapToGrid w:val="0"/>
      </w:pPr>
      <w:bookmarkStart w:id="66" w:name="_Toc20018"/>
      <w:bookmarkStart w:id="67" w:name="_Toc8024"/>
      <w:bookmarkStart w:id="68" w:name="_Toc31354"/>
      <w:r>
        <w:t>过程体系方面</w:t>
      </w:r>
      <w:bookmarkEnd w:id="66"/>
      <w:bookmarkEnd w:id="67"/>
      <w:bookmarkEnd w:id="68"/>
    </w:p>
    <w:p>
      <w:pPr>
        <w:pStyle w:val="2"/>
        <w:keepNext w:val="0"/>
        <w:keepLines w:val="0"/>
        <w:pageBreakBefore w:val="0"/>
        <w:widowControl w:val="0"/>
        <w:kinsoku w:val="0"/>
        <w:wordWrap/>
        <w:overflowPunct/>
        <w:topLinePunct w:val="0"/>
        <w:autoSpaceDE w:val="0"/>
        <w:autoSpaceDN w:val="0"/>
        <w:bidi w:val="0"/>
        <w:adjustRightInd w:val="0"/>
        <w:snapToGrid w:val="0"/>
      </w:pPr>
      <w:bookmarkStart w:id="69" w:name="bookmark70"/>
      <w:bookmarkEnd w:id="69"/>
      <w:bookmarkStart w:id="70" w:name="_Toc2634"/>
      <w:bookmarkStart w:id="71" w:name="_Toc3860"/>
      <w:bookmarkStart w:id="72" w:name="_Toc28531"/>
      <w:r>
        <w:t>现状分析</w:t>
      </w:r>
      <w:bookmarkEnd w:id="70"/>
      <w:bookmarkEnd w:id="71"/>
      <w:bookmarkEnd w:id="72"/>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eastAsia"/>
          <w:spacing w:val="-1"/>
          <w:sz w:val="24"/>
          <w:szCs w:val="24"/>
        </w:rPr>
      </w:pPr>
      <w:r>
        <w:rPr>
          <w:rFonts w:ascii="宋体" w:eastAsia="宋体" w:hAnsi="宋体" w:cs="宋体" w:hint="eastAsia"/>
          <w:spacing w:val="-1"/>
          <w:sz w:val="24"/>
          <w:szCs w:val="24"/>
        </w:rPr>
        <w:t>经过多年的运行和发展，运维服务团队结合客户业务运维的特点，已形成一套适合我司信息化发展特点的过程管理规范，包括服务请求、故障处理、巡检、配置、发布、安全等管理规范和流程。现需要对</w:t>
      </w:r>
      <w:r>
        <w:rPr>
          <w:rFonts w:ascii="宋体" w:eastAsia="宋体" w:hAnsi="宋体" w:cs="宋体" w:hint="eastAsia"/>
          <w:spacing w:val="-1"/>
          <w:sz w:val="24"/>
          <w:szCs w:val="24"/>
          <w:lang w:val="en-US" w:eastAsia="zh-CN"/>
        </w:rPr>
        <w:t>以上</w:t>
      </w:r>
      <w:r>
        <w:rPr>
          <w:rFonts w:ascii="宋体" w:eastAsia="宋体" w:hAnsi="宋体" w:cs="宋体" w:hint="eastAsia"/>
          <w:spacing w:val="-1"/>
          <w:sz w:val="24"/>
          <w:szCs w:val="24"/>
        </w:rPr>
        <w:t>过程进行持续落实与优化，持续改进事件、变更、发布、信息安全管理、服务级别、服务报告、问题管理、配置管理等过程，以便在符合业务运行情况下满足ITSS相关要求。</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73" w:name="_Toc18535"/>
      <w:bookmarkStart w:id="74" w:name="_Toc6652"/>
      <w:bookmarkStart w:id="75" w:name="_Toc22619"/>
      <w:r>
        <w:t>改进目标</w:t>
      </w:r>
      <w:bookmarkEnd w:id="73"/>
      <w:bookmarkEnd w:id="74"/>
      <w:bookmarkEnd w:id="75"/>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76" w:name="bookmark71"/>
      <w:bookmarkEnd w:id="76"/>
      <w:bookmarkStart w:id="77" w:name="_Toc28074"/>
      <w:bookmarkStart w:id="78" w:name="_Toc10375"/>
      <w:bookmarkStart w:id="79" w:name="_Toc24350"/>
      <w:bookmarkStart w:id="80" w:name="_Toc5916"/>
      <w:bookmarkStart w:id="81" w:name="_Toc1428"/>
      <w:r>
        <w:rPr>
          <w:rFonts w:hint="eastAsia"/>
          <w:lang w:val="en-US" w:eastAsia="zh-CN"/>
        </w:rPr>
        <w:t>过程框架设计</w:t>
      </w:r>
      <w:bookmarkEnd w:id="77"/>
      <w:bookmarkEnd w:id="78"/>
      <w:bookmarkEnd w:id="79"/>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1、</w:t>
      </w:r>
      <w:r>
        <w:rPr>
          <w:rFonts w:ascii="宋体" w:eastAsia="宋体" w:hAnsi="宋体" w:cs="宋体" w:hint="default"/>
          <w:sz w:val="24"/>
          <w:szCs w:val="24"/>
          <w:lang w:val="en-US" w:eastAsia="zh-CN"/>
        </w:rPr>
        <w:t>建立一个灵活、可扩展的过程框架，用于管理和执行业务流程、工作流或系统操作序列。</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2、</w:t>
      </w:r>
      <w:r>
        <w:rPr>
          <w:rFonts w:ascii="宋体" w:eastAsia="宋体" w:hAnsi="宋体" w:cs="宋体" w:hint="default"/>
          <w:sz w:val="24"/>
          <w:szCs w:val="24"/>
          <w:lang w:val="en-US" w:eastAsia="zh-CN"/>
        </w:rPr>
        <w:t>选择一个运维项目在依据业主方要求建立《过程框架设计方案》并在服务过程中提交阶段性服务报告。</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3、过程框架每半年至少评估一次。</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82" w:name="_Toc31634"/>
      <w:r>
        <w:t>服务级别管理</w:t>
      </w:r>
      <w:bookmarkEnd w:id="80"/>
      <w:bookmarkEnd w:id="81"/>
      <w:bookmarkEnd w:id="82"/>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spacing w:val="-2"/>
          <w:sz w:val="24"/>
          <w:szCs w:val="24"/>
        </w:rPr>
        <w:t>1</w:t>
      </w:r>
      <w:r>
        <w:rPr>
          <w:rFonts w:ascii="宋体" w:eastAsia="宋体" w:hAnsi="宋体" w:cs="宋体" w:hint="eastAsia"/>
          <w:spacing w:val="-1"/>
          <w:sz w:val="24"/>
          <w:szCs w:val="24"/>
          <w:lang w:val="en-US" w:eastAsia="zh-CN"/>
        </w:rPr>
        <w:t>、继续执行《服务级别管理程序》，并持续优化、改进服务级别管理过程，根据现场实际情况制定 SLA 相关指标，不同客户使用不同标准。</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2、定期召开 SLA 回顾会议，对 SLA 进行有效评审，对于不适合的 SLA进行改进。</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3、提高所有人员尤其是现场一线工程师对服务级别协议的履行意识，加强对项目服务级别协议的执行管控，提高客户满意度。</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83" w:name="_Toc15217"/>
      <w:bookmarkStart w:id="84" w:name="_Toc419"/>
      <w:bookmarkStart w:id="85" w:name="_Toc29805"/>
      <w:r>
        <w:t>服务报告管理</w:t>
      </w:r>
      <w:bookmarkEnd w:id="83"/>
      <w:bookmarkEnd w:id="84"/>
      <w:bookmarkEnd w:id="85"/>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1、继续执行《服务报告管理程序》，并持续优化、改进服务报告管理过程。如明确运维过程中需要提交的相关文档（服务报告等），规范《服务报告》模板，推广到各项目中进行实际应用。</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2、改进《服务报告》，提高报告提交的规范性和及时性。</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3、根据客户的要求，进行定期或者不定期的沟通。</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86" w:name="_Toc10758"/>
      <w:bookmarkStart w:id="87" w:name="_Toc5598"/>
      <w:bookmarkStart w:id="88" w:name="_Toc15845"/>
      <w:r>
        <w:t>事件管理</w:t>
      </w:r>
      <w:bookmarkEnd w:id="86"/>
      <w:bookmarkEnd w:id="87"/>
      <w:bookmarkEnd w:id="88"/>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1、继续执行《服务事件管理程序》，并持续优化、改进服务事件管理过程。对事件过程监控和升级策略进行调整、优化，及时发现事件处理中可能出现的延误和 SLA 不能达成的情况。</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2、加强对一线工程师技术培训，加快识别事件和问题的能力，避免大问题记录成小事件的现象。</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3、加强运维事件响应时间管理。</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89" w:name="_Toc4066"/>
      <w:bookmarkStart w:id="90" w:name="_Toc1525"/>
      <w:bookmarkStart w:id="91" w:name="_Toc10579"/>
      <w:r>
        <w:t>问题管理</w:t>
      </w:r>
      <w:bookmarkEnd w:id="89"/>
      <w:bookmarkEnd w:id="90"/>
      <w:bookmarkEnd w:id="91"/>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1、继续严格执行《服务问题管理程序》，并持续优化、改进服务问题管理过程。如明确相应的流程和职责等。</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2、明确问题的来源渠道（提出人，问题所属业务系统），明确问题责任人和监督部门。</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3、加强问题处理流程培训，明确问题的分类、分级，提高处理、监督分析效率。</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4、问题管理 KPI 考核指标的持续跟踪。</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92" w:name="_Toc7496"/>
      <w:bookmarkStart w:id="93" w:name="_Toc15471"/>
      <w:bookmarkStart w:id="94" w:name="_Toc9140"/>
      <w:r>
        <w:t>变更管理</w:t>
      </w:r>
      <w:bookmarkEnd w:id="92"/>
      <w:bookmarkEnd w:id="93"/>
      <w:bookmarkEnd w:id="94"/>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1、严格执行《变更管理程序》，并持续优化、改进变更管理过程。</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2、明确变更管理的范围和要求，确立相关角色和职责，尤其是变更决策。</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3、严格执行《变更管理程序》，对变更进行监控，定期的检查和审计。</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4、定期组织人员对变更、发布管理程序进行研讨，运维部根据研讨内容对变更、发布管理程序进行持续改进。</w:t>
      </w:r>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5" w:name="_Toc514"/>
      <w:bookmarkStart w:id="96" w:name="_Toc12154"/>
      <w:bookmarkStart w:id="97" w:name="_Toc27350"/>
      <w:r>
        <w:t>发布</w:t>
      </w:r>
      <w:r>
        <w:rPr>
          <w:rFonts w:hint="eastAsia"/>
          <w:lang w:val="en-US" w:eastAsia="zh-CN"/>
        </w:rPr>
        <w:t>管理</w:t>
      </w:r>
      <w:bookmarkEnd w:id="95"/>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1、严格执行《发布管理程序》并持续优化、改进发布管理过程。</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2、明确发布管理的范围和要求，确立相关角色和职责。</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3、严格执行《发布管理程序》，对发布进行监控，定期的检查和审计。</w:t>
      </w:r>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8" w:name="_Toc13429"/>
      <w:r>
        <w:rPr>
          <w:rFonts w:hint="eastAsia"/>
          <w:lang w:val="en-US" w:eastAsia="zh-CN"/>
        </w:rPr>
        <w:t>配置</w:t>
      </w:r>
      <w:r>
        <w:t>管理</w:t>
      </w:r>
      <w:bookmarkEnd w:id="96"/>
      <w:bookmarkEnd w:id="97"/>
      <w:bookmarkEnd w:id="98"/>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1、继续执行《配置管理程序》，并持续优化、改进配置管理过程，规范、明确配置项之间的逻辑。</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2、改进配置管理文档模板，规范配置项的记录格式。</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3、及时执行配置的审计和验证。</w:t>
      </w:r>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4、与其他管理过程配合，设立配置变更策略，对配置项的变更及时更新。</w:t>
      </w:r>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9" w:name="_Toc26220"/>
      <w:bookmarkStart w:id="100" w:name="_Toc17542"/>
      <w:bookmarkStart w:id="101" w:name="_Toc21498"/>
      <w:r>
        <w:rPr>
          <w:rFonts w:hint="eastAsia"/>
          <w:lang w:val="en-US" w:eastAsia="zh-CN"/>
        </w:rPr>
        <w:t>服务可用性和连续性管理</w:t>
      </w:r>
      <w:bookmarkEnd w:id="99"/>
      <w:bookmarkEnd w:id="100"/>
      <w:bookmarkEnd w:id="101"/>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1、</w:t>
      </w:r>
      <w:r>
        <w:rPr>
          <w:rFonts w:ascii="宋体" w:eastAsia="宋体" w:hAnsi="宋体" w:cs="宋体" w:hint="default"/>
          <w:sz w:val="24"/>
          <w:szCs w:val="24"/>
          <w:lang w:val="en-US" w:eastAsia="zh-CN"/>
        </w:rPr>
        <w:t>本年度内建立《服务可用性与连续性管理过程》，当客户业务发生中断或重大灾害、意外事件时，公司在符合成本效益和业务快速恢复的原则下，最大化降低客户业务损失。</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2、</w:t>
      </w:r>
      <w:r>
        <w:rPr>
          <w:rFonts w:ascii="宋体" w:eastAsia="宋体" w:hAnsi="宋体" w:cs="宋体" w:hint="default"/>
          <w:sz w:val="24"/>
          <w:szCs w:val="24"/>
          <w:lang w:val="en-US" w:eastAsia="zh-CN"/>
        </w:rPr>
        <w:t>实现向容量管理提供灾难中或恢复阶段的服务容量需求，如人员和资源的配给；向变更管理提供可用性计划和连续性计划的变更请求；向服务报告管理输出可用性和连续性管理数据。</w:t>
      </w:r>
    </w:p>
    <w:p>
      <w:pPr>
        <w:pStyle w:val="3"/>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102" w:name="_Toc10476"/>
      <w:bookmarkStart w:id="103" w:name="_Toc10388"/>
      <w:bookmarkStart w:id="104" w:name="_Toc13309"/>
      <w:r>
        <w:rPr>
          <w:rFonts w:hint="eastAsia"/>
          <w:lang w:val="en-US" w:eastAsia="zh-CN"/>
        </w:rPr>
        <w:t>容量管理</w:t>
      </w:r>
      <w:bookmarkEnd w:id="102"/>
      <w:bookmarkEnd w:id="103"/>
      <w:bookmarkEnd w:id="104"/>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1、</w:t>
      </w:r>
      <w:r>
        <w:rPr>
          <w:rFonts w:ascii="宋体" w:eastAsia="宋体" w:hAnsi="宋体" w:cs="宋体" w:hint="default"/>
          <w:sz w:val="24"/>
          <w:szCs w:val="24"/>
          <w:lang w:val="en-US" w:eastAsia="zh-CN"/>
        </w:rPr>
        <w:t>本年度内建立《容量管理策略》，对业务系统额定容量展开监控和处置，消除客户业务容量风险，确保公司提供的服务满足规定的 SLA，确保客户业务系统的运行满足业务需求。</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2、</w:t>
      </w:r>
      <w:r>
        <w:rPr>
          <w:rFonts w:ascii="宋体" w:eastAsia="宋体" w:hAnsi="宋体" w:cs="宋体" w:hint="default"/>
          <w:sz w:val="24"/>
          <w:szCs w:val="24"/>
          <w:lang w:val="en-US" w:eastAsia="zh-CN"/>
        </w:rPr>
        <w:t>实现向变更管理提供容量管理变更请求；向服务报告管理输出容量管理数据。</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3、季度容量事件次数不超过2次。</w:t>
      </w:r>
    </w:p>
    <w:p>
      <w:pPr>
        <w:pStyle w:val="3"/>
        <w:keepNext w:val="0"/>
        <w:keepLines w:val="0"/>
        <w:pageBreakBefore w:val="0"/>
        <w:widowControl w:val="0"/>
        <w:kinsoku w:val="0"/>
        <w:wordWrap/>
        <w:overflowPunct/>
        <w:topLinePunct w:val="0"/>
        <w:autoSpaceDE w:val="0"/>
        <w:autoSpaceDN w:val="0"/>
        <w:bidi w:val="0"/>
        <w:adjustRightInd w:val="0"/>
        <w:snapToGrid w:val="0"/>
      </w:pPr>
      <w:bookmarkStart w:id="105" w:name="_Toc6186"/>
      <w:bookmarkStart w:id="106" w:name="_Toc915"/>
      <w:bookmarkStart w:id="107" w:name="_Toc28333"/>
      <w:r>
        <w:t>信息安全管理</w:t>
      </w:r>
      <w:bookmarkEnd w:id="105"/>
      <w:bookmarkEnd w:id="106"/>
      <w:bookmarkEnd w:id="107"/>
    </w:p>
    <w:p>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为保障我司无任何信息安全事件发生，关于信息安全管理方面，计划进行如下工作：</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继续执行《信息安全管理程序》，并持续优化、改进信息安全管理过程，做到风险评估全面覆盖。</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及时收集和更新客户以及法律法规对于信息安全制度的要求。</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3、进行信息安全相关的培训。</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08" w:name="_Toc7113"/>
      <w:bookmarkStart w:id="109" w:name="_Toc16024"/>
      <w:bookmarkStart w:id="110" w:name="_Toc11047"/>
      <w:r>
        <w:t>实施计划</w:t>
      </w:r>
      <w:bookmarkEnd w:id="108"/>
      <w:bookmarkEnd w:id="109"/>
      <w:bookmarkEnd w:id="110"/>
    </w:p>
    <w:tbl>
      <w:tblPr>
        <w:tblStyle w:val="TableGrid"/>
        <w:tblW w:w="8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12"/>
        <w:gridCol w:w="1752"/>
        <w:gridCol w:w="1884"/>
        <w:gridCol w:w="1944"/>
        <w:gridCol w:w="1949"/>
      </w:tblGrid>
      <w:tr>
        <w:tblPrEx>
          <w:tblW w:w="8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过程名称</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应用场景</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关键指标</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与其他过程的输入</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对其他过程的输出</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服务级别管理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用于运维服务需求从受理到方案提供、SLA 签订、 SLA 实施与监控的全生命周期管理</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SLA 达成率≥90%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计算方式：（满足服务级别事件数/事件总数）*100% 考 核频次：</w:t>
            </w:r>
            <w:r>
              <w:rPr>
                <w:rFonts w:hint="eastAsia"/>
                <w:lang w:val="en-US" w:eastAsia="zh-CN"/>
              </w:rPr>
              <w:t>季度</w:t>
            </w:r>
            <w:r>
              <w:rPr>
                <w:rFonts w:hint="default"/>
                <w:lang w:val="en-US" w:eastAsia="zh-CN"/>
              </w:rPr>
              <w:t xml:space="preserve"> </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从可用性和连续性管理、容量管理、事件管理、信息安全管理获得服务级别协议相关信息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 向可用性和连续性管理 、 容量管理 、 事件管理、信息安全管理、服务报告管理提供服务级别协议相关信息；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、向变更管理提供服务级别相关变更请求</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用于管理运维项目中各类服务报告，包含各类方案、阶段性总结报告、验收汇报等</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服务报告及时率 ≥9</w:t>
            </w:r>
            <w:r>
              <w:rPr>
                <w:rFonts w:hint="eastAsia"/>
                <w:lang w:val="en-US" w:eastAsia="zh-CN"/>
              </w:rPr>
              <w:t>0</w:t>
            </w:r>
            <w:r>
              <w:rPr>
                <w:rFonts w:hint="default"/>
                <w:lang w:val="en-US" w:eastAsia="zh-CN"/>
              </w:rPr>
              <w:t>%计算方式：及时提交服务报告次数/需提交服务报告总次数</w:t>
            </w:r>
            <w:r>
              <w:rPr>
                <w:rFonts w:hint="eastAsia"/>
                <w:lang w:val="en-US" w:eastAsia="zh-CN"/>
              </w:rPr>
              <w:t>*</w:t>
            </w:r>
            <w:r>
              <w:rPr>
                <w:rFonts w:hint="default"/>
                <w:lang w:val="en-US" w:eastAsia="zh-CN"/>
              </w:rPr>
              <w:t>100%</w:t>
            </w:r>
            <w:r>
              <w:rPr>
                <w:rFonts w:hint="eastAsia"/>
                <w:lang w:val="en-US" w:eastAsia="zh-CN"/>
              </w:rPr>
              <w:t>,频次:月度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运维过程中相关报告与记录或其它信息渠道获取</w:t>
            </w:r>
          </w:p>
        </w:tc>
        <w:tc>
          <w:tcPr>
            <w:tcW w:w="1949" w:type="dxa"/>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w:t>
            </w:r>
            <w:r>
              <w:rPr>
                <w:rFonts w:hint="default"/>
                <w:lang w:val="en-US" w:eastAsia="zh-CN"/>
              </w:rPr>
              <w:t>提供《SLA达成情况分析报告》，用于评估服务级别协议履行情况，支持SLA评审与调整。</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2、</w:t>
            </w:r>
            <w:r>
              <w:rPr>
                <w:rFonts w:hint="default"/>
                <w:lang w:val="en-US" w:eastAsia="zh-CN"/>
              </w:rPr>
              <w:t>提供《事件处理统计分析报告》，用于评估事件响应与解决效果，支持事件流程优化。</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提供《问题趋势分析报告》，用于识别重复事件与系统性问题，支持根源分析。</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4、</w:t>
            </w:r>
            <w:r>
              <w:rPr>
                <w:rFonts w:hint="default"/>
                <w:lang w:val="en-US" w:eastAsia="zh-CN"/>
              </w:rPr>
              <w:t>提供《变更实施后评估报告》，用于评估变更对服务的影响，支持变更决策与复盘。</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事件管理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确保业务系统各类事件能在最短的时间内得到解决，满足公司与客户约定的SLA要求</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1.事件解决率</w:t>
            </w:r>
            <w:r>
              <w:rPr>
                <w:rFonts w:hint="default"/>
                <w:lang w:val="en-US" w:eastAsia="zh-CN"/>
              </w:rPr>
              <w:t>≥9</w:t>
            </w:r>
            <w:r>
              <w:rPr>
                <w:rFonts w:hint="eastAsia"/>
                <w:lang w:val="en-US" w:eastAsia="zh-CN"/>
              </w:rPr>
              <w:t>5</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计算方式：成功解决事件数/已关闭事件总数</w:t>
            </w:r>
            <w:r>
              <w:rPr>
                <w:rFonts w:hint="eastAsia"/>
                <w:lang w:val="en-US" w:eastAsia="zh-CN"/>
              </w:rPr>
              <w:t>*100%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按月</w:t>
            </w:r>
          </w:p>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2.</w:t>
            </w:r>
            <w:r>
              <w:rPr>
                <w:rFonts w:hint="default"/>
                <w:lang w:val="en-US" w:eastAsia="zh-CN"/>
              </w:rPr>
              <w:t>事件</w:t>
            </w:r>
            <w:r>
              <w:rPr>
                <w:rFonts w:hint="eastAsia"/>
                <w:lang w:val="en-US" w:eastAsia="zh-CN"/>
              </w:rPr>
              <w:t>按时</w:t>
            </w:r>
            <w:r>
              <w:rPr>
                <w:rFonts w:hint="default"/>
                <w:lang w:val="en-US" w:eastAsia="zh-CN"/>
              </w:rPr>
              <w:t>解决及时率9</w:t>
            </w:r>
            <w:r>
              <w:rPr>
                <w:rFonts w:hint="eastAsia"/>
                <w:lang w:val="en-US" w:eastAsia="zh-CN"/>
              </w:rPr>
              <w:t>5</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计算方式：（按照事件等级规定时间内解决的事件数/已关闭事件总数）*100% 考核频次：</w:t>
            </w:r>
            <w:r>
              <w:rPr>
                <w:rFonts w:hint="eastAsia"/>
                <w:lang w:val="en-US" w:eastAsia="zh-CN"/>
              </w:rPr>
              <w:t>按月</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事件回访的及时率</w:t>
            </w:r>
            <w:r>
              <w:rPr>
                <w:rFonts w:hint="eastAsia"/>
                <w:lang w:val="en-US" w:eastAsia="zh-CN"/>
              </w:rPr>
              <w:t>95%</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按时回访的事件数量/已回访的事</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件总数</w:t>
            </w:r>
            <w:r>
              <w:rPr>
                <w:rFonts w:hint="eastAsia"/>
                <w:lang w:val="en-US" w:eastAsia="zh-CN"/>
              </w:rPr>
              <w:t>*100%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按季度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、从服务级别管理获得服务级别协议相关信息；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、从变更管理获得事件 引发变更 的处理 结果；</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、从信息安全管理获得信息安全管理相关信息；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、从问题管理获得已知问题、已知错误和解决方案的信息；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5 、从配置管理获得配置项信息；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、向发布管理提供待发布信息、操作手册、已知错误信息；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、向信息安全管理提供安全性突发事件报告和记录等信息，并触发信息安全管理；</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、向变更管理提供变更请求信息 ， 并触发变更管理；</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、向问题管理提供重大、重复多次等相关事件信息。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5 、向服务报告管理提供事件相关信息</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问题管理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对重复多次发生的事件、具有重大影响范围等事件进行根源调查、处置，避免事件的再次发</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生，提高系统可用性、连续性和容量</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问题解决率≥</w:t>
            </w:r>
            <w:r>
              <w:rPr>
                <w:rFonts w:hint="eastAsia"/>
                <w:lang w:val="en-US" w:eastAsia="zh-CN"/>
              </w:rPr>
              <w:t>85</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 xml:space="preserve">计算方式： </w:t>
            </w:r>
            <w:r>
              <w:rPr>
                <w:rFonts w:hint="eastAsia"/>
                <w:lang w:val="en-US" w:eastAsia="zh-CN"/>
              </w:rPr>
              <w:t>成功解决的问题数</w:t>
            </w:r>
            <w:r>
              <w:rPr>
                <w:rFonts w:hint="default"/>
                <w:lang w:val="en-US" w:eastAsia="zh-CN"/>
              </w:rPr>
              <w:t>/问题总数*100%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1、从事件管理获得突发事件报告的相关信息；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2、从变更管理获得问题 引发变更的处理 结果；</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3、从发布管理获得已知问题、已知错误和解决方案的相关信息；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4、从配置管理获得配置项信息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1、向变更管理提交变更请求信息；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2、向事件管理提供已知问题、 已知错误和解决方案的相关信息；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3、向服务报告管理提供问题相关信息</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p>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变更管理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从业务、技术两个角度管理客户业务系统生产环境变更，尽量降低变更对生产环境带来的影响</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变更成功率≥9</w:t>
            </w:r>
            <w:r>
              <w:rPr>
                <w:rFonts w:hint="eastAsia"/>
                <w:lang w:val="en-US" w:eastAsia="zh-CN"/>
              </w:rPr>
              <w:t>8</w:t>
            </w:r>
            <w:r>
              <w:rPr>
                <w:rFonts w:hint="default"/>
                <w:lang w:val="en-US" w:eastAsia="zh-CN"/>
              </w:rPr>
              <w:t>%计算方式：1-(回退变更/变更总数)*100%考核频次：季度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1 、从可用性和连续性管理获得可用性计划和连续性计划</w:t>
            </w:r>
            <w:r>
              <w:rPr>
                <w:rFonts w:hint="eastAsia"/>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、从配置管理获得变更对业务产生的影响；</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、从服务级别管理、</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信息安全管理、配置管理、事件管理、问题管理获得各过程的变更请求</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、向配置管理提供配置项的更新和修改信息；2 、向发布管理提供变更授权；</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、向事件管理、问题管理提供变更的处理结果；</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、向服务报告管理提供变更信息</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发布管理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对软硬件导入生产环境的过程进行管理</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发布成功率≥9</w:t>
            </w:r>
            <w:r>
              <w:rPr>
                <w:rFonts w:hint="eastAsia"/>
                <w:lang w:val="en-US" w:eastAsia="zh-CN"/>
              </w:rPr>
              <w:t>8</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计算方式：发布</w:t>
            </w:r>
            <w:r>
              <w:rPr>
                <w:rFonts w:hint="eastAsia"/>
                <w:lang w:val="en-US" w:eastAsia="zh-CN"/>
              </w:rPr>
              <w:t>成功</w:t>
            </w:r>
            <w:r>
              <w:rPr>
                <w:rFonts w:hint="default"/>
                <w:lang w:val="en-US" w:eastAsia="zh-CN"/>
              </w:rPr>
              <w:t>的数量/发布总数量</w:t>
            </w:r>
            <w:r>
              <w:rPr>
                <w:rFonts w:hint="eastAsia"/>
                <w:lang w:val="en-US" w:eastAsia="zh-CN"/>
              </w:rPr>
              <w:t>*</w:t>
            </w:r>
            <w:r>
              <w:rPr>
                <w:rFonts w:hint="default"/>
                <w:lang w:val="en-US" w:eastAsia="zh-CN"/>
              </w:rPr>
              <w:t>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从变更管理获得变更授权</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、向变更管理提供对变更记录的更新和修改信息；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、向问题管理提供已知错误信息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、向服务报告管理提供发布信息</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配置管理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确保客户业务系</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统生产环境各类</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配置项以及关系</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能够得到及时地</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导入和维护 ，从</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而展示客户业务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系统生产环境实</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时状态</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w:t>
            </w:r>
            <w:r>
              <w:rPr>
                <w:rFonts w:hint="eastAsia"/>
                <w:lang w:val="en-US" w:eastAsia="zh-CN"/>
              </w:rPr>
              <w:t>准确率</w:t>
            </w:r>
            <w:r>
              <w:rPr>
                <w:rFonts w:hint="default"/>
                <w:lang w:val="en-US" w:eastAsia="zh-CN"/>
              </w:rPr>
              <w:t>≥9</w:t>
            </w:r>
            <w:r>
              <w:rPr>
                <w:rFonts w:hint="eastAsia"/>
                <w:lang w:val="en-US" w:eastAsia="zh-CN"/>
              </w:rPr>
              <w:t>5</w:t>
            </w:r>
            <w:r>
              <w:rPr>
                <w:rFonts w:hint="default"/>
                <w:lang w:val="en-US" w:eastAsia="zh-CN"/>
              </w:rPr>
              <w:t>%计算方式：</w:t>
            </w:r>
            <w:r>
              <w:rPr>
                <w:rFonts w:hint="eastAsia"/>
                <w:lang w:val="en-US" w:eastAsia="zh-CN"/>
              </w:rPr>
              <w:t>配置准确数/配置总数*</w:t>
            </w:r>
            <w:r>
              <w:rPr>
                <w:rFonts w:hint="default"/>
                <w:lang w:val="en-US" w:eastAsia="zh-CN"/>
              </w:rPr>
              <w:t>100%</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、从变更管理、发布管理获得对配置项的更新和修改信息；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、从连续性和可用性管理获得可用性计划和连续性计划</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向事件管理、 问题管理、变更管理、发布管理、可用性与连续性管理、容量管理、信息安全管理、服务报告管理提供配置项信息及配置项间的关系</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可用性和连续性管理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当客户业务发生中断或重大灾害、意外事件时，公司在符合成本效益和业务快速恢复的原则下，最大化降低客户业务损失</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w:t>
            </w:r>
            <w:r>
              <w:rPr>
                <w:rFonts w:hint="eastAsia"/>
                <w:lang w:val="en-US" w:eastAsia="zh-CN"/>
              </w:rPr>
              <w:t>业务可用性</w:t>
            </w:r>
            <w:r>
              <w:rPr>
                <w:rFonts w:hint="default"/>
                <w:lang w:val="en-US" w:eastAsia="zh-CN"/>
              </w:rPr>
              <w:t>≥9</w:t>
            </w:r>
            <w:r>
              <w:rPr>
                <w:rFonts w:hint="eastAsia"/>
                <w:lang w:val="en-US" w:eastAsia="zh-CN"/>
              </w:rPr>
              <w:t>9</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可用时间/</w:t>
            </w:r>
            <w:r>
              <w:rPr>
                <w:rFonts w:hint="eastAsia"/>
                <w:lang w:val="en-US" w:eastAsia="zh-CN"/>
              </w:rPr>
              <w:t>整体运行时间</w:t>
            </w:r>
            <w:r>
              <w:rPr>
                <w:rFonts w:hint="default"/>
                <w:lang w:val="en-US" w:eastAsia="zh-CN"/>
              </w:rPr>
              <w:t xml:space="preserve">*100%（ 考核频次 ： </w:t>
            </w:r>
            <w:r>
              <w:rPr>
                <w:rFonts w:hint="eastAsia"/>
                <w:lang w:val="en-US" w:eastAsia="zh-CN"/>
              </w:rPr>
              <w:t>季度</w:t>
            </w:r>
            <w:r>
              <w:rPr>
                <w:rFonts w:hint="default"/>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2、业务连续性</w:t>
            </w:r>
            <w:r>
              <w:rPr>
                <w:rFonts w:hint="eastAsia"/>
                <w:lang w:val="en-US" w:eastAsia="zh-CN"/>
              </w:rPr>
              <w:t>≤2次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eastAsia"/>
                <w:lang w:val="en-US" w:eastAsia="zh-CN"/>
              </w:rPr>
              <w:t>计算方式:突发事件导致中断次数</w:t>
            </w: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2、从配置管理获取配置项信息；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1、向容量管理提供灾难中或恢复阶段的服务容量需求 ， 如人员和资源的配给；</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2、向变更管理提供可用性计划和连续性计划的变更请求；</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、向服务报告管理输出可用性和连续性管理数据</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容量管理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对业务系统额定容量展开监控和处置，消除客户业务容量风险，确保公司提供的服务满足规 定 的 SLA ，确保客户业务系统的运行满足业务需求</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容量事件次数≤2次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计算方式:由于容量原因发生事件的数量</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2、从可用性和连续性管理获得容量需求；</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3、向配置管理获取相关配置项信息；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4、从事件管理获取因容量问题引发的事件</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、向变更管理提供容量管理变更请求；</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 、向服务报告管理输出容量管理数据</w:t>
            </w:r>
          </w:p>
        </w:tc>
      </w:tr>
      <w:tr>
        <w:tblPrEx>
          <w:tblW w:w="8641" w:type="dxa"/>
          <w:jc w:val="center"/>
          <w:tblLayout w:type="fixed"/>
          <w:tblCellMar>
            <w:top w:w="0" w:type="dxa"/>
            <w:left w:w="108" w:type="dxa"/>
            <w:bottom w:w="0" w:type="dxa"/>
            <w:right w:w="108" w:type="dxa"/>
          </w:tblCellMar>
        </w:tblPrEx>
        <w:trPr>
          <w:jc w:val="center"/>
        </w:trPr>
        <w:tc>
          <w:tcPr>
            <w:tcW w:w="111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管理</w:t>
            </w:r>
          </w:p>
        </w:tc>
        <w:tc>
          <w:tcPr>
            <w:tcW w:w="175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通过规范的信息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安全管理，识别、评估并合理应对运维服务过程中的各类安全风险 ，降低信息安全风险影响</w:t>
            </w:r>
          </w:p>
        </w:tc>
        <w:tc>
          <w:tcPr>
            <w:tcW w:w="188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信息安全事件数量≤1次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我方人员造成信息安全事件的次数</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年度</w:t>
            </w:r>
          </w:p>
        </w:tc>
        <w:tc>
          <w:tcPr>
            <w:tcW w:w="1944"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1、从服务级别管理获得关于信息安全管理的服务要求、法律法规和合同义务；</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2、从配置管理获得配置项信息；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3、从变更管理中获得变更请求信息；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4、从事件管理获得信息安全事件信息</w:t>
            </w:r>
          </w:p>
        </w:tc>
        <w:tc>
          <w:tcPr>
            <w:tcW w:w="194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1、向变更管理提供信息安全风险及其影响的信息；</w:t>
            </w:r>
          </w:p>
          <w:p>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2、向服务报告管理提供信息安全相关信息。</w:t>
            </w:r>
          </w:p>
        </w:tc>
      </w:tr>
    </w:tbl>
    <w:p>
      <w:pPr>
        <w:pStyle w:val="BodyText"/>
        <w:keepNext w:val="0"/>
        <w:keepLines w:val="0"/>
        <w:pageBreakBefore w:val="0"/>
        <w:widowControl w:val="0"/>
        <w:kinsoku w:val="0"/>
        <w:wordWrap/>
        <w:overflowPunct/>
        <w:topLinePunct w:val="0"/>
        <w:autoSpaceDE w:val="0"/>
        <w:autoSpaceDN w:val="0"/>
        <w:bidi w:val="0"/>
        <w:adjustRightInd w:val="0"/>
        <w:snapToGrid w:val="0"/>
        <w:spacing w:line="302" w:lineRule="auto"/>
      </w:pPr>
    </w:p>
    <w:p>
      <w:pPr>
        <w:pStyle w:val="1"/>
        <w:keepNext w:val="0"/>
        <w:keepLines w:val="0"/>
        <w:pageBreakBefore w:val="0"/>
        <w:widowControl w:val="0"/>
        <w:kinsoku w:val="0"/>
        <w:wordWrap/>
        <w:overflowPunct/>
        <w:topLinePunct w:val="0"/>
        <w:autoSpaceDE w:val="0"/>
        <w:autoSpaceDN w:val="0"/>
        <w:bidi w:val="0"/>
        <w:adjustRightInd w:val="0"/>
        <w:snapToGrid w:val="0"/>
      </w:pPr>
      <w:bookmarkStart w:id="111" w:name="_Toc8501"/>
      <w:bookmarkStart w:id="112" w:name="_Toc24044"/>
      <w:bookmarkStart w:id="113" w:name="_Toc31242"/>
      <w:r>
        <w:t>交付管理</w:t>
      </w:r>
      <w:bookmarkEnd w:id="111"/>
      <w:bookmarkEnd w:id="112"/>
      <w:bookmarkEnd w:id="113"/>
    </w:p>
    <w:p>
      <w:pPr>
        <w:pStyle w:val="2"/>
        <w:keepNext w:val="0"/>
        <w:keepLines w:val="0"/>
        <w:pageBreakBefore w:val="0"/>
        <w:widowControl w:val="0"/>
        <w:kinsoku w:val="0"/>
        <w:wordWrap/>
        <w:overflowPunct/>
        <w:topLinePunct w:val="0"/>
        <w:autoSpaceDE w:val="0"/>
        <w:autoSpaceDN w:val="0"/>
        <w:bidi w:val="0"/>
        <w:adjustRightInd w:val="0"/>
        <w:snapToGrid w:val="0"/>
      </w:pPr>
      <w:bookmarkStart w:id="114" w:name="bookmark72"/>
      <w:bookmarkEnd w:id="114"/>
      <w:bookmarkStart w:id="115" w:name="_Toc4866"/>
      <w:bookmarkStart w:id="116" w:name="_Toc12694"/>
      <w:bookmarkStart w:id="117" w:name="_Toc25240"/>
      <w:r>
        <w:t>现状分析</w:t>
      </w:r>
      <w:bookmarkEnd w:id="115"/>
      <w:bookmarkEnd w:id="116"/>
      <w:bookmarkEnd w:id="117"/>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在运维项目交付的规范化管理方面，运维部有一些既有的规范要求，但未形成交付管理体系，在运维交付的策划方面有所欠缺。</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另一方面，目前公司各运维项目的交付物（如：现场服务记录、故障分析记录等）存在格式不统一、内容比较混乱、缺少相关审核流程等问题，需要按照 ITSS 的相关标准进行梳理。</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18" w:name="_Toc3163"/>
      <w:bookmarkStart w:id="119" w:name="_Toc26133"/>
      <w:bookmarkStart w:id="120" w:name="_Toc17080"/>
      <w:r>
        <w:t>改进目标</w:t>
      </w:r>
      <w:bookmarkEnd w:id="118"/>
      <w:bookmarkEnd w:id="119"/>
      <w:bookmarkEnd w:id="120"/>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通过 ITSS 项目的实施，严格执行《运维交付规范》，在运维项目的实施过程中，持续优化、改善运维交付相关的管理过程。</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对运维交付物进行规范化、流程化的管理，建立相关 KPI 指标，提高运维交付工作的专业化水平。</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p>
    <w:p>
      <w:pPr>
        <w:pStyle w:val="2"/>
        <w:keepNext w:val="0"/>
        <w:keepLines w:val="0"/>
        <w:pageBreakBefore w:val="0"/>
        <w:widowControl w:val="0"/>
        <w:kinsoku w:val="0"/>
        <w:wordWrap/>
        <w:overflowPunct/>
        <w:topLinePunct w:val="0"/>
        <w:autoSpaceDE w:val="0"/>
        <w:autoSpaceDN w:val="0"/>
        <w:bidi w:val="0"/>
        <w:adjustRightInd w:val="0"/>
        <w:snapToGrid w:val="0"/>
      </w:pPr>
      <w:bookmarkStart w:id="121" w:name="_Toc11474"/>
      <w:bookmarkStart w:id="122" w:name="_Toc30021"/>
      <w:bookmarkStart w:id="123" w:name="_Toc18604"/>
      <w:r>
        <w:t>实施计划</w:t>
      </w:r>
      <w:bookmarkEnd w:id="121"/>
      <w:bookmarkEnd w:id="122"/>
      <w:bookmarkEnd w:id="123"/>
    </w:p>
    <w:tbl>
      <w:tblPr>
        <w:tblStyle w:val="TableNormal0"/>
        <w:tblW w:w="9539"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002"/>
        <w:gridCol w:w="1678"/>
        <w:gridCol w:w="2177"/>
        <w:gridCol w:w="2682"/>
      </w:tblGrid>
      <w:tr>
        <w:tblPrEx>
          <w:tblW w:w="9539"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93"/>
        </w:trPr>
        <w:tc>
          <w:tcPr>
            <w:tcW w:w="30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267"/>
              <w:rPr>
                <w:sz w:val="24"/>
                <w:szCs w:val="24"/>
              </w:rPr>
            </w:pPr>
            <w:r>
              <w:rPr>
                <w:b/>
                <w:bCs/>
                <w:spacing w:val="-6"/>
                <w:sz w:val="24"/>
                <w:szCs w:val="24"/>
              </w:rPr>
              <w:t>名称</w:t>
            </w:r>
          </w:p>
        </w:tc>
        <w:tc>
          <w:tcPr>
            <w:tcW w:w="167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362"/>
              <w:rPr>
                <w:sz w:val="24"/>
                <w:szCs w:val="24"/>
              </w:rPr>
            </w:pPr>
            <w:r>
              <w:rPr>
                <w:b/>
                <w:bCs/>
                <w:spacing w:val="-5"/>
                <w:sz w:val="24"/>
                <w:szCs w:val="24"/>
              </w:rPr>
              <w:t>计划工期</w:t>
            </w:r>
          </w:p>
        </w:tc>
        <w:tc>
          <w:tcPr>
            <w:tcW w:w="2177" w:type="dxa"/>
            <w:tcBorders>
              <w:bottom w:val="single" w:sz="4" w:space="0" w:color="auto"/>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623"/>
              <w:rPr>
                <w:sz w:val="24"/>
                <w:szCs w:val="24"/>
              </w:rPr>
            </w:pPr>
            <w:r>
              <w:rPr>
                <w:b/>
                <w:bCs/>
                <w:spacing w:val="-7"/>
                <w:sz w:val="24"/>
                <w:szCs w:val="24"/>
              </w:rPr>
              <w:t>负责部门</w:t>
            </w:r>
          </w:p>
        </w:tc>
        <w:tc>
          <w:tcPr>
            <w:tcW w:w="268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989"/>
              <w:rPr>
                <w:sz w:val="24"/>
                <w:szCs w:val="24"/>
              </w:rPr>
            </w:pPr>
            <w:r>
              <w:rPr>
                <w:b/>
                <w:bCs/>
                <w:spacing w:val="-6"/>
                <w:sz w:val="24"/>
                <w:szCs w:val="24"/>
              </w:rPr>
              <w:t>成果物</w:t>
            </w:r>
          </w:p>
        </w:tc>
      </w:tr>
      <w:tr>
        <w:tblPrEx>
          <w:tblW w:w="9539" w:type="dxa"/>
          <w:tblInd w:w="28" w:type="dxa"/>
          <w:tblLayout w:type="fixed"/>
          <w:tblCellMar>
            <w:top w:w="0" w:type="dxa"/>
            <w:left w:w="0" w:type="dxa"/>
            <w:bottom w:w="0" w:type="dxa"/>
            <w:right w:w="0" w:type="dxa"/>
          </w:tblCellMar>
        </w:tblPrEx>
        <w:trPr>
          <w:trHeight w:val="1463"/>
        </w:trPr>
        <w:tc>
          <w:tcPr>
            <w:tcW w:w="30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3" w:line="341" w:lineRule="auto"/>
              <w:ind w:left="113" w:right="43"/>
              <w:jc w:val="both"/>
              <w:rPr>
                <w:sz w:val="24"/>
                <w:szCs w:val="24"/>
              </w:rPr>
            </w:pPr>
            <w:r>
              <w:rPr>
                <w:spacing w:val="-4"/>
                <w:sz w:val="24"/>
                <w:szCs w:val="24"/>
              </w:rPr>
              <w:t>严格执行交付，持续优化、</w:t>
            </w:r>
            <w:r>
              <w:rPr>
                <w:spacing w:val="-1"/>
                <w:sz w:val="24"/>
                <w:szCs w:val="24"/>
              </w:rPr>
              <w:t>改善运维交付相关的管理</w:t>
            </w:r>
            <w:r>
              <w:rPr>
                <w:spacing w:val="-3"/>
                <w:sz w:val="24"/>
                <w:szCs w:val="24"/>
              </w:rPr>
              <w:t>过程</w:t>
            </w:r>
          </w:p>
        </w:tc>
        <w:tc>
          <w:tcPr>
            <w:tcW w:w="1678" w:type="dxa"/>
            <w:tcBorders>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line="264" w:lineRule="auto"/>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65"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602"/>
              <w:rPr>
                <w:sz w:val="24"/>
                <w:szCs w:val="24"/>
              </w:rPr>
            </w:pPr>
            <w:r>
              <w:rPr>
                <w:spacing w:val="-3"/>
                <w:sz w:val="24"/>
                <w:szCs w:val="24"/>
              </w:rPr>
              <w:t>全年</w:t>
            </w:r>
          </w:p>
        </w:tc>
        <w:tc>
          <w:tcPr>
            <w:tcW w:w="2177" w:type="dxa"/>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line="251" w:lineRule="auto"/>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94"/>
              <w:rPr>
                <w:sz w:val="24"/>
                <w:szCs w:val="24"/>
              </w:rPr>
            </w:pPr>
            <w:r>
              <w:rPr>
                <w:spacing w:val="-2"/>
                <w:sz w:val="24"/>
                <w:szCs w:val="24"/>
              </w:rPr>
              <w:t>运维部</w:t>
            </w:r>
          </w:p>
        </w:tc>
        <w:tc>
          <w:tcPr>
            <w:tcW w:w="2682" w:type="dxa"/>
            <w:tcBorders>
              <w:lef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spacing w:line="286" w:lineRule="auto"/>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202" w:line="220" w:lineRule="auto"/>
              <w:ind w:left="116"/>
              <w:rPr>
                <w:rFonts w:eastAsia="宋体" w:hint="default"/>
                <w:sz w:val="24"/>
                <w:szCs w:val="24"/>
                <w:lang w:val="en-US" w:eastAsia="zh-CN"/>
              </w:rPr>
            </w:pPr>
            <w:r>
              <w:rPr>
                <w:rFonts w:hint="eastAsia"/>
                <w:sz w:val="24"/>
                <w:szCs w:val="24"/>
                <w:lang w:val="en-US" w:eastAsia="zh-CN"/>
              </w:rPr>
              <w:t>《运维服务交付规范》</w:t>
            </w:r>
          </w:p>
        </w:tc>
      </w:tr>
      <w:tr>
        <w:tblPrEx>
          <w:tblW w:w="9539" w:type="dxa"/>
          <w:tblInd w:w="28" w:type="dxa"/>
          <w:tblLayout w:type="fixed"/>
          <w:tblCellMar>
            <w:top w:w="0" w:type="dxa"/>
            <w:left w:w="0" w:type="dxa"/>
            <w:bottom w:w="0" w:type="dxa"/>
            <w:right w:w="0" w:type="dxa"/>
          </w:tblCellMar>
        </w:tblPrEx>
        <w:trPr>
          <w:trHeight w:val="976"/>
        </w:trPr>
        <w:tc>
          <w:tcPr>
            <w:tcW w:w="30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1" w:right="249" w:firstLine="2"/>
              <w:rPr>
                <w:sz w:val="24"/>
                <w:szCs w:val="24"/>
              </w:rPr>
            </w:pPr>
            <w:r>
              <w:rPr>
                <w:spacing w:val="-2"/>
                <w:sz w:val="24"/>
                <w:szCs w:val="24"/>
              </w:rPr>
              <w:t>编制运维项目交付服务计</w:t>
            </w:r>
            <w:r>
              <w:rPr>
                <w:sz w:val="24"/>
                <w:szCs w:val="24"/>
              </w:rPr>
              <w:t>划</w:t>
            </w:r>
          </w:p>
        </w:tc>
        <w:tc>
          <w:tcPr>
            <w:tcW w:w="1678" w:type="dxa"/>
            <w:tcBorders>
              <w:right w:val="single" w:sz="4" w:space="0" w:color="auto"/>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482" w:right="115" w:hanging="356"/>
              <w:rPr>
                <w:sz w:val="24"/>
                <w:szCs w:val="24"/>
              </w:rPr>
            </w:pPr>
            <w:r>
              <w:rPr>
                <w:spacing w:val="-3"/>
                <w:sz w:val="24"/>
                <w:szCs w:val="24"/>
              </w:rPr>
              <w:t>项目开始约半个月前</w:t>
            </w:r>
          </w:p>
        </w:tc>
        <w:tc>
          <w:tcPr>
            <w:tcW w:w="2177" w:type="dxa"/>
            <w:vMerge/>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682" w:type="dxa"/>
            <w:tcBorders>
              <w:left w:val="single" w:sz="4" w:space="0" w:color="auto"/>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4" w:right="166" w:firstLine="1"/>
              <w:rPr>
                <w:rFonts w:hint="eastAsia"/>
                <w:sz w:val="24"/>
                <w:szCs w:val="24"/>
                <w:lang w:val="en-US" w:eastAsia="zh-CN"/>
              </w:rPr>
            </w:pPr>
            <w:r>
              <w:rPr>
                <w:rFonts w:hint="eastAsia"/>
                <w:sz w:val="24"/>
                <w:szCs w:val="24"/>
                <w:lang w:val="en-US" w:eastAsia="zh-CN"/>
              </w:rPr>
              <w:t>《项目运维实施方案》</w:t>
            </w:r>
          </w:p>
        </w:tc>
      </w:tr>
    </w:tbl>
    <w:p>
      <w:pPr>
        <w:pStyle w:val="1"/>
        <w:keepNext w:val="0"/>
        <w:keepLines w:val="0"/>
        <w:pageBreakBefore w:val="0"/>
        <w:widowControl w:val="0"/>
        <w:kinsoku w:val="0"/>
        <w:wordWrap/>
        <w:overflowPunct/>
        <w:topLinePunct w:val="0"/>
        <w:autoSpaceDE w:val="0"/>
        <w:autoSpaceDN w:val="0"/>
        <w:bidi w:val="0"/>
        <w:adjustRightInd w:val="0"/>
        <w:snapToGrid w:val="0"/>
      </w:pPr>
      <w:bookmarkStart w:id="124" w:name="bookmark55"/>
      <w:bookmarkEnd w:id="124"/>
      <w:bookmarkStart w:id="125" w:name="_Toc5088"/>
      <w:bookmarkStart w:id="126" w:name="_Toc14360"/>
      <w:bookmarkStart w:id="127" w:name="_Toc10435"/>
      <w:r>
        <w:t>应急响应</w:t>
      </w:r>
      <w:bookmarkEnd w:id="125"/>
      <w:bookmarkEnd w:id="126"/>
      <w:bookmarkEnd w:id="127"/>
    </w:p>
    <w:p>
      <w:pPr>
        <w:pStyle w:val="2"/>
        <w:keepNext w:val="0"/>
        <w:keepLines w:val="0"/>
        <w:pageBreakBefore w:val="0"/>
        <w:widowControl w:val="0"/>
        <w:kinsoku w:val="0"/>
        <w:wordWrap/>
        <w:overflowPunct/>
        <w:topLinePunct w:val="0"/>
        <w:autoSpaceDE w:val="0"/>
        <w:autoSpaceDN w:val="0"/>
        <w:bidi w:val="0"/>
        <w:adjustRightInd w:val="0"/>
        <w:snapToGrid w:val="0"/>
      </w:pPr>
      <w:bookmarkStart w:id="128" w:name="bookmark73"/>
      <w:bookmarkEnd w:id="128"/>
      <w:bookmarkStart w:id="129" w:name="_Toc13591"/>
      <w:bookmarkStart w:id="130" w:name="_Toc16790"/>
      <w:bookmarkStart w:id="131" w:name="_Toc17367"/>
      <w:r>
        <w:t>现状分析</w:t>
      </w:r>
      <w:bookmarkEnd w:id="129"/>
      <w:bookmarkEnd w:id="130"/>
      <w:bookmarkEnd w:id="131"/>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公司坚持以预防为主、日常响应处理相结合的策略，把应对突发事件的各项工作落实在日常管理之中，加强基础工作，提高防范意识，将预防与应急处置有机结合起来，做好预防、预测、预警工作，加强系统巡视，定期安全检查，及时发现处理系统缺陷，有效防止发生系统瘫痪；组织开展事故演习，提高对突发事件处理和恢复运行的能力。</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32" w:name="bookmark56"/>
      <w:bookmarkEnd w:id="132"/>
      <w:bookmarkStart w:id="133" w:name="_Toc30137"/>
      <w:bookmarkStart w:id="134" w:name="_Toc3880"/>
      <w:bookmarkStart w:id="135" w:name="_Toc19715"/>
      <w:r>
        <w:t>改进目标</w:t>
      </w:r>
      <w:bookmarkEnd w:id="133"/>
      <w:bookmarkEnd w:id="134"/>
      <w:bookmarkEnd w:id="135"/>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z w:val="24"/>
          <w:szCs w:val="24"/>
          <w:lang w:eastAsia="zh-CN"/>
        </w:rPr>
      </w:pPr>
      <w:r>
        <w:rPr>
          <w:rFonts w:ascii="宋体" w:eastAsia="宋体" w:hAnsi="宋体" w:cs="宋体"/>
          <w:sz w:val="24"/>
          <w:szCs w:val="24"/>
        </w:rPr>
        <w:t>运维部负责在 2025年 1 月将运维应急管理相关制度，并宣贯到各个项目。所有运维工程师熟悉并严格执行应急响应规范，在岗及储备的运维负责人负责应急响应规范的监控和统计分析</w:t>
      </w:r>
      <w:r>
        <w:rPr>
          <w:rFonts w:ascii="宋体" w:hAnsi="宋体" w:cs="宋体" w:hint="eastAsia"/>
          <w:sz w:val="24"/>
          <w:szCs w:val="24"/>
          <w:lang w:eastAsia="zh-CN"/>
        </w:rPr>
        <w:t>。</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36" w:name="bookmark57"/>
      <w:bookmarkEnd w:id="136"/>
      <w:bookmarkStart w:id="137" w:name="_Toc2180"/>
      <w:bookmarkStart w:id="138" w:name="_Toc4273"/>
      <w:r>
        <w:t xml:space="preserve"> </w:t>
      </w:r>
      <w:bookmarkStart w:id="139" w:name="_Toc15610"/>
      <w:r>
        <w:t>实施计划</w:t>
      </w:r>
      <w:bookmarkEnd w:id="137"/>
      <w:bookmarkEnd w:id="138"/>
      <w:bookmarkEnd w:id="139"/>
    </w:p>
    <w:tbl>
      <w:tblPr>
        <w:tblStyle w:val="TableGrid"/>
        <w:tblW w:w="107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63"/>
        <w:gridCol w:w="3150"/>
        <w:gridCol w:w="1624"/>
        <w:gridCol w:w="2680"/>
      </w:tblGrid>
      <w:tr>
        <w:tblPrEx>
          <w:tblW w:w="107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263"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324" w:leftChars="0"/>
              <w:rPr>
                <w:rFonts w:ascii="宋体" w:eastAsia="宋体" w:hAnsi="宋体" w:cs="宋体"/>
                <w:snapToGrid w:val="0"/>
                <w:color w:val="000000"/>
                <w:kern w:val="0"/>
                <w:sz w:val="24"/>
                <w:szCs w:val="24"/>
                <w:lang w:val="en-US" w:eastAsia="en-US" w:bidi="ar-SA"/>
              </w:rPr>
            </w:pPr>
            <w:bookmarkStart w:id="140" w:name="bookmark58"/>
            <w:bookmarkEnd w:id="140"/>
            <w:bookmarkStart w:id="141" w:name="bookmark59"/>
            <w:bookmarkEnd w:id="141"/>
            <w:bookmarkStart w:id="142" w:name="_Toc21932"/>
            <w:bookmarkStart w:id="143" w:name="_Toc3108"/>
            <w:r>
              <w:rPr>
                <w:b/>
                <w:bCs/>
                <w:spacing w:val="-6"/>
                <w:sz w:val="24"/>
                <w:szCs w:val="24"/>
              </w:rPr>
              <w:t>名称</w:t>
            </w:r>
          </w:p>
        </w:tc>
        <w:tc>
          <w:tcPr>
            <w:tcW w:w="3150"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284" w:leftChars="0"/>
              <w:rPr>
                <w:rFonts w:ascii="宋体" w:eastAsia="宋体" w:hAnsi="宋体" w:cs="宋体"/>
                <w:snapToGrid w:val="0"/>
                <w:color w:val="000000"/>
                <w:kern w:val="0"/>
                <w:sz w:val="24"/>
                <w:szCs w:val="24"/>
                <w:lang w:val="en-US" w:eastAsia="en-US" w:bidi="ar-SA"/>
              </w:rPr>
            </w:pPr>
            <w:r>
              <w:rPr>
                <w:b/>
                <w:bCs/>
                <w:spacing w:val="-5"/>
                <w:sz w:val="24"/>
                <w:szCs w:val="24"/>
              </w:rPr>
              <w:t>计划工期</w:t>
            </w:r>
          </w:p>
        </w:tc>
        <w:tc>
          <w:tcPr>
            <w:tcW w:w="1624"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35" w:leftChars="0"/>
              <w:rPr>
                <w:rFonts w:ascii="宋体" w:eastAsia="宋体" w:hAnsi="宋体" w:cs="宋体"/>
                <w:snapToGrid w:val="0"/>
                <w:color w:val="000000"/>
                <w:kern w:val="0"/>
                <w:sz w:val="24"/>
                <w:szCs w:val="24"/>
                <w:lang w:val="en-US" w:eastAsia="en-US" w:bidi="ar-SA"/>
              </w:rPr>
            </w:pPr>
            <w:r>
              <w:rPr>
                <w:rFonts w:hint="eastAsia"/>
                <w:b/>
                <w:bCs/>
                <w:spacing w:val="-7"/>
                <w:sz w:val="24"/>
                <w:szCs w:val="24"/>
                <w:lang w:val="en-US" w:eastAsia="zh-CN"/>
              </w:rPr>
              <w:t>相关</w:t>
            </w:r>
            <w:r>
              <w:rPr>
                <w:b/>
                <w:bCs/>
                <w:spacing w:val="-7"/>
                <w:sz w:val="24"/>
                <w:szCs w:val="24"/>
              </w:rPr>
              <w:t>部门</w:t>
            </w:r>
          </w:p>
        </w:tc>
        <w:tc>
          <w:tcPr>
            <w:tcW w:w="2680"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794" w:leftChars="0"/>
              <w:rPr>
                <w:rFonts w:ascii="宋体" w:eastAsia="宋体" w:hAnsi="宋体" w:cs="宋体"/>
                <w:snapToGrid w:val="0"/>
                <w:color w:val="000000"/>
                <w:kern w:val="0"/>
                <w:sz w:val="24"/>
                <w:szCs w:val="24"/>
                <w:lang w:val="en-US" w:eastAsia="en-US" w:bidi="ar-SA"/>
              </w:rPr>
            </w:pPr>
            <w:r>
              <w:rPr>
                <w:b/>
                <w:bCs/>
                <w:spacing w:val="-6"/>
                <w:sz w:val="24"/>
                <w:szCs w:val="24"/>
              </w:rPr>
              <w:t>成果物</w:t>
            </w:r>
          </w:p>
        </w:tc>
      </w:tr>
      <w:tr>
        <w:tblPrEx>
          <w:tblW w:w="10717" w:type="dxa"/>
          <w:tblInd w:w="0" w:type="dxa"/>
          <w:tblLayout w:type="fixed"/>
          <w:tblCellMar>
            <w:top w:w="0" w:type="dxa"/>
            <w:left w:w="108" w:type="dxa"/>
            <w:bottom w:w="0" w:type="dxa"/>
            <w:right w:w="108" w:type="dxa"/>
          </w:tblCellMar>
        </w:tblPrEx>
        <w:tc>
          <w:tcPr>
            <w:tcW w:w="3263" w:type="dxa"/>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1"/>
                <w:sz w:val="24"/>
                <w:szCs w:val="24"/>
              </w:rPr>
              <w:t>将应急响应服务规范贯彻执行，并持续改进运维服务过程中的应急响应管理</w:t>
            </w:r>
          </w:p>
        </w:tc>
        <w:tc>
          <w:tcPr>
            <w:tcW w:w="3150" w:type="dxa"/>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3"/>
                <w:sz w:val="24"/>
                <w:szCs w:val="24"/>
              </w:rPr>
              <w:t>全年</w:t>
            </w:r>
          </w:p>
        </w:tc>
        <w:tc>
          <w:tcPr>
            <w:tcW w:w="1624" w:type="dxa"/>
            <w:vMerge w:val="restart"/>
          </w:tcPr>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val="en-US" w:eastAsia="zh-CN"/>
              </w:rPr>
            </w:pPr>
            <w:r>
              <w:rPr>
                <w:rFonts w:eastAsia="宋体" w:hint="eastAsia"/>
                <w:vertAlign w:val="baseline"/>
                <w:lang w:val="en-US" w:eastAsia="zh-CN"/>
              </w:rPr>
              <w:t>应急管理小组</w:t>
            </w:r>
          </w:p>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val="en-US" w:eastAsia="zh-CN"/>
              </w:rPr>
            </w:pPr>
            <w:r>
              <w:rPr>
                <w:rFonts w:eastAsia="宋体" w:hint="eastAsia"/>
                <w:vertAlign w:val="baseline"/>
                <w:lang w:val="en-US" w:eastAsia="zh-CN"/>
              </w:rPr>
              <w:t>研发部</w:t>
            </w:r>
          </w:p>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val="en-US" w:eastAsia="zh-CN"/>
              </w:rPr>
            </w:pPr>
            <w:r>
              <w:rPr>
                <w:rFonts w:eastAsia="宋体" w:hint="eastAsia"/>
                <w:vertAlign w:val="baseline"/>
                <w:lang w:val="en-US" w:eastAsia="zh-CN"/>
              </w:rPr>
              <w:t>运维部</w:t>
            </w:r>
          </w:p>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质量部</w:t>
            </w:r>
          </w:p>
        </w:tc>
        <w:tc>
          <w:tcPr>
            <w:tcW w:w="268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《应急保障制度》</w:t>
            </w:r>
          </w:p>
        </w:tc>
      </w:tr>
      <w:tr>
        <w:tblPrEx>
          <w:tblW w:w="10717" w:type="dxa"/>
          <w:tblInd w:w="0" w:type="dxa"/>
          <w:tblLayout w:type="fixed"/>
          <w:tblCellMar>
            <w:top w:w="0" w:type="dxa"/>
            <w:left w:w="108" w:type="dxa"/>
            <w:bottom w:w="0" w:type="dxa"/>
            <w:right w:w="108" w:type="dxa"/>
          </w:tblCellMar>
        </w:tblPrEx>
        <w:tc>
          <w:tcPr>
            <w:tcW w:w="3263" w:type="dxa"/>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1"/>
                <w:sz w:val="24"/>
                <w:szCs w:val="24"/>
              </w:rPr>
              <w:t>应急响应规范与应急预案培</w:t>
            </w:r>
            <w:r>
              <w:rPr>
                <w:sz w:val="24"/>
                <w:szCs w:val="24"/>
              </w:rPr>
              <w:t>训</w:t>
            </w:r>
          </w:p>
        </w:tc>
        <w:tc>
          <w:tcPr>
            <w:tcW w:w="315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4月</w:t>
            </w:r>
          </w:p>
        </w:tc>
        <w:tc>
          <w:tcPr>
            <w:tcW w:w="1624" w:type="dxa"/>
            <w:vMerge/>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p>
        </w:tc>
        <w:tc>
          <w:tcPr>
            <w:tcW w:w="268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培训记录</w:t>
            </w:r>
          </w:p>
        </w:tc>
      </w:tr>
      <w:tr>
        <w:tblPrEx>
          <w:tblW w:w="10717" w:type="dxa"/>
          <w:tblInd w:w="0" w:type="dxa"/>
          <w:tblLayout w:type="fixed"/>
          <w:tblCellMar>
            <w:top w:w="0" w:type="dxa"/>
            <w:left w:w="108" w:type="dxa"/>
            <w:bottom w:w="0" w:type="dxa"/>
            <w:right w:w="108" w:type="dxa"/>
          </w:tblCellMar>
        </w:tblPrEx>
        <w:tc>
          <w:tcPr>
            <w:tcW w:w="3263" w:type="dxa"/>
          </w:tcPr>
          <w:p>
            <w:pPr>
              <w:keepNext w:val="0"/>
              <w:keepLines w:val="0"/>
              <w:pageBreakBefore w:val="0"/>
              <w:widowControl w:val="0"/>
              <w:kinsoku w:val="0"/>
              <w:wordWrap/>
              <w:overflowPunct/>
              <w:topLinePunct w:val="0"/>
              <w:autoSpaceDE w:val="0"/>
              <w:autoSpaceDN w:val="0"/>
              <w:bidi w:val="0"/>
              <w:adjustRightInd w:val="0"/>
              <w:snapToGrid w:val="0"/>
              <w:rPr>
                <w:spacing w:val="-1"/>
                <w:sz w:val="24"/>
                <w:szCs w:val="24"/>
              </w:rPr>
            </w:pPr>
            <w:r>
              <w:rPr>
                <w:spacing w:val="-2"/>
                <w:sz w:val="24"/>
                <w:szCs w:val="24"/>
              </w:rPr>
              <w:t>组织应急响应预案演练</w:t>
            </w:r>
          </w:p>
        </w:tc>
        <w:tc>
          <w:tcPr>
            <w:tcW w:w="315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default"/>
                <w:vertAlign w:val="baseline"/>
                <w:lang w:val="en-US" w:eastAsia="zh-CN"/>
              </w:rPr>
            </w:pPr>
            <w:r>
              <w:rPr>
                <w:rFonts w:eastAsia="宋体" w:hint="eastAsia"/>
                <w:vertAlign w:val="baseline"/>
                <w:lang w:val="en-US" w:eastAsia="zh-CN"/>
              </w:rPr>
              <w:t>5月、7月、9月、10月、11月</w:t>
            </w:r>
          </w:p>
        </w:tc>
        <w:tc>
          <w:tcPr>
            <w:tcW w:w="1624" w:type="dxa"/>
            <w:vMerge/>
          </w:tcPr>
          <w:p>
            <w:pPr>
              <w:keepNext w:val="0"/>
              <w:keepLines w:val="0"/>
              <w:pageBreakBefore w:val="0"/>
              <w:widowControl w:val="0"/>
              <w:kinsoku w:val="0"/>
              <w:wordWrap/>
              <w:overflowPunct/>
              <w:topLinePunct w:val="0"/>
              <w:autoSpaceDE w:val="0"/>
              <w:autoSpaceDN w:val="0"/>
              <w:bidi w:val="0"/>
              <w:adjustRightInd w:val="0"/>
              <w:snapToGrid w:val="0"/>
              <w:rPr>
                <w:vertAlign w:val="baseline"/>
              </w:rPr>
            </w:pPr>
          </w:p>
        </w:tc>
        <w:tc>
          <w:tcPr>
            <w:tcW w:w="2680" w:type="dxa"/>
          </w:tcPr>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eastAsia="zh-CN"/>
              </w:rPr>
            </w:pPr>
            <w:r>
              <w:rPr>
                <w:rFonts w:eastAsia="宋体" w:hint="eastAsia"/>
                <w:vertAlign w:val="baseline"/>
                <w:lang w:eastAsia="zh-CN"/>
              </w:rPr>
              <w:t>《应急演练总结报告》</w:t>
            </w:r>
          </w:p>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eastAsia="zh-CN"/>
              </w:rPr>
            </w:pPr>
            <w:r>
              <w:rPr>
                <w:rFonts w:eastAsia="宋体" w:hint="eastAsia"/>
                <w:vertAlign w:val="baseline"/>
                <w:lang w:eastAsia="zh-CN"/>
              </w:rPr>
              <w:t>《应急演练记录》</w:t>
            </w:r>
          </w:p>
          <w:p>
            <w:pPr>
              <w:keepNext w:val="0"/>
              <w:keepLines w:val="0"/>
              <w:pageBreakBefore w:val="0"/>
              <w:widowControl w:val="0"/>
              <w:kinsoku w:val="0"/>
              <w:wordWrap/>
              <w:overflowPunct/>
              <w:topLinePunct w:val="0"/>
              <w:autoSpaceDE w:val="0"/>
              <w:autoSpaceDN w:val="0"/>
              <w:bidi w:val="0"/>
              <w:adjustRightInd w:val="0"/>
              <w:snapToGrid w:val="0"/>
              <w:rPr>
                <w:rFonts w:eastAsia="宋体" w:hint="eastAsia"/>
                <w:vertAlign w:val="baseline"/>
                <w:lang w:eastAsia="zh-CN"/>
              </w:rPr>
            </w:pPr>
            <w:r>
              <w:rPr>
                <w:rFonts w:eastAsia="宋体" w:hint="eastAsia"/>
                <w:vertAlign w:val="baseline"/>
                <w:lang w:eastAsia="zh-CN"/>
              </w:rPr>
              <w:t>《应急响应演练计划》</w:t>
            </w:r>
          </w:p>
        </w:tc>
      </w:tr>
    </w:tbl>
    <w:p>
      <w:pPr>
        <w:keepNext w:val="0"/>
        <w:keepLines w:val="0"/>
        <w:pageBreakBefore w:val="0"/>
        <w:widowControl w:val="0"/>
        <w:kinsoku w:val="0"/>
        <w:wordWrap/>
        <w:overflowPunct/>
        <w:topLinePunct w:val="0"/>
        <w:autoSpaceDE w:val="0"/>
        <w:autoSpaceDN w:val="0"/>
        <w:bidi w:val="0"/>
        <w:adjustRightInd w:val="0"/>
        <w:snapToGrid w:val="0"/>
      </w:pPr>
    </w:p>
    <w:p>
      <w:pPr>
        <w:pStyle w:val="1"/>
        <w:keepNext w:val="0"/>
        <w:keepLines w:val="0"/>
        <w:pageBreakBefore w:val="0"/>
        <w:widowControl w:val="0"/>
        <w:kinsoku w:val="0"/>
        <w:wordWrap/>
        <w:overflowPunct/>
        <w:topLinePunct w:val="0"/>
        <w:autoSpaceDE w:val="0"/>
        <w:autoSpaceDN w:val="0"/>
        <w:bidi w:val="0"/>
        <w:adjustRightInd w:val="0"/>
        <w:snapToGrid w:val="0"/>
      </w:pPr>
      <w:bookmarkStart w:id="144" w:name="_Toc14993"/>
      <w:r>
        <w:t>质量管理</w:t>
      </w:r>
      <w:bookmarkEnd w:id="142"/>
      <w:bookmarkEnd w:id="143"/>
      <w:bookmarkEnd w:id="144"/>
    </w:p>
    <w:p>
      <w:pPr>
        <w:pStyle w:val="2"/>
        <w:keepNext w:val="0"/>
        <w:keepLines w:val="0"/>
        <w:pageBreakBefore w:val="0"/>
        <w:widowControl w:val="0"/>
        <w:kinsoku w:val="0"/>
        <w:wordWrap/>
        <w:overflowPunct/>
        <w:topLinePunct w:val="0"/>
        <w:autoSpaceDE w:val="0"/>
        <w:autoSpaceDN w:val="0"/>
        <w:bidi w:val="0"/>
        <w:adjustRightInd w:val="0"/>
        <w:snapToGrid w:val="0"/>
      </w:pPr>
      <w:bookmarkStart w:id="145" w:name="bookmark74"/>
      <w:bookmarkEnd w:id="145"/>
      <w:bookmarkStart w:id="146" w:name="_Toc25644"/>
      <w:bookmarkStart w:id="147" w:name="_Toc19431"/>
      <w:bookmarkStart w:id="148" w:name="_Toc18818"/>
      <w:r>
        <w:t>现状分析</w:t>
      </w:r>
      <w:bookmarkEnd w:id="146"/>
      <w:bookmarkEnd w:id="147"/>
      <w:bookmarkEnd w:id="148"/>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在质量管理规范化方面，质量部虽然已有一些既</w:t>
      </w:r>
      <w:r>
        <w:rPr>
          <w:rFonts w:ascii="宋体" w:eastAsia="宋体" w:hAnsi="宋体" w:cs="宋体"/>
          <w:spacing w:val="-1"/>
          <w:sz w:val="24"/>
          <w:szCs w:val="24"/>
        </w:rPr>
        <w:t>有的规范要求，但仍需</w:t>
      </w:r>
      <w:r>
        <w:rPr>
          <w:rFonts w:ascii="宋体" w:eastAsia="宋体" w:hAnsi="宋体" w:cs="宋体"/>
          <w:sz w:val="24"/>
          <w:szCs w:val="24"/>
        </w:rPr>
        <w:t>继续完善或执行现有的质量管理体系。另外，随着</w:t>
      </w:r>
      <w:r>
        <w:rPr>
          <w:rFonts w:ascii="宋体" w:eastAsia="宋体" w:hAnsi="宋体" w:cs="宋体"/>
          <w:spacing w:val="-1"/>
          <w:sz w:val="24"/>
          <w:szCs w:val="24"/>
        </w:rPr>
        <w:t>公司运维业务的不断发展，</w:t>
      </w:r>
      <w:r>
        <w:rPr>
          <w:rFonts w:ascii="宋体" w:eastAsia="宋体" w:hAnsi="宋体" w:cs="宋体"/>
          <w:spacing w:val="-3"/>
          <w:sz w:val="24"/>
          <w:szCs w:val="24"/>
        </w:rPr>
        <w:t>质量管理工作需进行全面的开展。</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49" w:name="bookmark60"/>
      <w:bookmarkEnd w:id="149"/>
      <w:bookmarkStart w:id="150" w:name="_Toc12720"/>
      <w:bookmarkStart w:id="151" w:name="_Toc28857"/>
      <w:bookmarkStart w:id="152" w:name="_Toc29953"/>
      <w:r>
        <w:t>改进目标</w:t>
      </w:r>
      <w:bookmarkEnd w:id="150"/>
      <w:bookmarkEnd w:id="151"/>
      <w:bookmarkEnd w:id="152"/>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检查各部门是否按照已建立的运维服务管理体系进行相关管理活动，保证ITSS 体系的符合性；</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检查和审计各类汇报和报告，以提高其报告质量和及时性；</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检查运维服务管理体系在经过每次评审和指导后对于暴露出问题的解决和修改，确保问题都能及时和稳妥地被解决。</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组织员工培训运维服务管理体系文件，增强质量意识，适时扩充质量保证队伍。</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53" w:name="bookmark61"/>
      <w:bookmarkEnd w:id="153"/>
      <w:bookmarkStart w:id="154" w:name="_Toc3406"/>
      <w:bookmarkStart w:id="155" w:name="_Toc9887"/>
      <w:bookmarkStart w:id="156" w:name="_Toc23362"/>
      <w:r>
        <w:t>实施计划</w:t>
      </w:r>
      <w:bookmarkEnd w:id="154"/>
      <w:bookmarkEnd w:id="155"/>
      <w:bookmarkEnd w:id="156"/>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3"/>
        <w:gridCol w:w="1427"/>
        <w:gridCol w:w="5052"/>
        <w:gridCol w:w="936"/>
        <w:gridCol w:w="678"/>
        <w:gridCol w:w="709"/>
        <w:gridCol w:w="141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99"/>
        </w:trPr>
        <w:tc>
          <w:tcPr>
            <w:tcW w:w="676" w:type="dxa"/>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编号</w:t>
            </w:r>
          </w:p>
        </w:tc>
        <w:tc>
          <w:tcPr>
            <w:tcW w:w="1335"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工作项目</w:t>
            </w:r>
          </w:p>
        </w:tc>
        <w:tc>
          <w:tcPr>
            <w:tcW w:w="3323"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措施及要求</w:t>
            </w:r>
          </w:p>
        </w:tc>
        <w:tc>
          <w:tcPr>
            <w:tcW w:w="1211"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责任部门</w:t>
            </w:r>
          </w:p>
        </w:tc>
        <w:tc>
          <w:tcPr>
            <w:tcW w:w="936"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zh-CN"/>
              </w:rPr>
            </w:pPr>
            <w:r>
              <w:rPr>
                <w:rFonts w:ascii="宋体" w:eastAsia="宋体" w:hAnsi="宋体" w:cs="宋体" w:hint="eastAsia"/>
                <w:sz w:val="19"/>
                <w:szCs w:val="19"/>
                <w:lang w:val="en-US" w:eastAsia="zh-CN"/>
              </w:rPr>
              <w:t>配合部门</w:t>
            </w:r>
          </w:p>
        </w:tc>
        <w:tc>
          <w:tcPr>
            <w:tcW w:w="1251"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zh-CN"/>
              </w:rPr>
              <w:t>负责人</w:t>
            </w:r>
          </w:p>
        </w:tc>
        <w:tc>
          <w:tcPr>
            <w:tcW w:w="1339"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zh-CN"/>
              </w:rPr>
              <w:t>计划实施日期</w:t>
            </w:r>
          </w:p>
        </w:tc>
      </w:tr>
      <w:tr>
        <w:tblPrEx>
          <w:tblW w:w="0" w:type="auto"/>
          <w:tblInd w:w="0" w:type="dxa"/>
          <w:tblCellMar>
            <w:top w:w="0" w:type="dxa"/>
            <w:left w:w="108" w:type="dxa"/>
            <w:bottom w:w="0" w:type="dxa"/>
            <w:right w:w="108" w:type="dxa"/>
          </w:tblCellMar>
        </w:tblPrEx>
        <w:tc>
          <w:tcPr>
            <w:tcW w:w="67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1</w:t>
            </w:r>
          </w:p>
        </w:tc>
        <w:tc>
          <w:tcPr>
            <w:tcW w:w="133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运维服务质量目标策划分解</w:t>
            </w:r>
          </w:p>
        </w:tc>
        <w:tc>
          <w:tcPr>
            <w:tcW w:w="3323"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1. 组织制定部门运维服务质量目标；</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 对部门运维服务质量目标进行分解，制定质量目标展开对策表。</w:t>
            </w:r>
          </w:p>
        </w:tc>
        <w:tc>
          <w:tcPr>
            <w:tcW w:w="121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w:t>
            </w:r>
          </w:p>
        </w:tc>
        <w:tc>
          <w:tcPr>
            <w:tcW w:w="93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质量部</w:t>
            </w:r>
          </w:p>
        </w:tc>
        <w:tc>
          <w:tcPr>
            <w:tcW w:w="125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运维部经理</w:t>
            </w:r>
          </w:p>
        </w:tc>
        <w:tc>
          <w:tcPr>
            <w:tcW w:w="133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2025年 1 月</w:t>
            </w:r>
          </w:p>
        </w:tc>
      </w:tr>
      <w:tr>
        <w:tblPrEx>
          <w:tblW w:w="0" w:type="auto"/>
          <w:tblInd w:w="0" w:type="dxa"/>
          <w:tblCellMar>
            <w:top w:w="0" w:type="dxa"/>
            <w:left w:w="108" w:type="dxa"/>
            <w:bottom w:w="0" w:type="dxa"/>
            <w:right w:w="108" w:type="dxa"/>
          </w:tblCellMar>
        </w:tblPrEx>
        <w:tc>
          <w:tcPr>
            <w:tcW w:w="67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w:t>
            </w:r>
          </w:p>
        </w:tc>
        <w:tc>
          <w:tcPr>
            <w:tcW w:w="133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质量信息反馈</w:t>
            </w:r>
          </w:p>
        </w:tc>
        <w:tc>
          <w:tcPr>
            <w:tcW w:w="3323"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1. 加强与用户的联系，主动征求意见；</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 按规定及时交流和采用反馈信息；</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3. 通过公司、事件不同角度的用户满意度调查和统计分析，及时掌握用户要求和用户意见；</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4. 跟踪问题处置；</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5. 处理用户投诉；</w:t>
            </w:r>
          </w:p>
        </w:tc>
        <w:tc>
          <w:tcPr>
            <w:tcW w:w="121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w:t>
            </w:r>
          </w:p>
        </w:tc>
        <w:tc>
          <w:tcPr>
            <w:tcW w:w="93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质量部</w:t>
            </w:r>
          </w:p>
        </w:tc>
        <w:tc>
          <w:tcPr>
            <w:tcW w:w="125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运维部经理</w:t>
            </w:r>
          </w:p>
        </w:tc>
        <w:tc>
          <w:tcPr>
            <w:tcW w:w="133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全年</w:t>
            </w:r>
          </w:p>
        </w:tc>
      </w:tr>
      <w:tr>
        <w:tblPrEx>
          <w:tblW w:w="0" w:type="auto"/>
          <w:tblInd w:w="0" w:type="dxa"/>
          <w:tblCellMar>
            <w:top w:w="0" w:type="dxa"/>
            <w:left w:w="108" w:type="dxa"/>
            <w:bottom w:w="0" w:type="dxa"/>
            <w:right w:w="108" w:type="dxa"/>
          </w:tblCellMar>
        </w:tblPrEx>
        <w:tc>
          <w:tcPr>
            <w:tcW w:w="67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3</w:t>
            </w:r>
          </w:p>
        </w:tc>
        <w:tc>
          <w:tcPr>
            <w:tcW w:w="133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运维服务制度的培训与学习</w:t>
            </w:r>
          </w:p>
        </w:tc>
        <w:tc>
          <w:tcPr>
            <w:tcW w:w="3323"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1. 运维服务文件下发后，应及时组织学习。</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 结合监督检查、内审、管理评审中发现的不符合项，学习有关管理文件；</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3. 做好学习记录。</w:t>
            </w:r>
          </w:p>
        </w:tc>
        <w:tc>
          <w:tcPr>
            <w:tcW w:w="121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人力资源部、</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质量部</w:t>
            </w:r>
          </w:p>
        </w:tc>
        <w:tc>
          <w:tcPr>
            <w:tcW w:w="93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各相关部门</w:t>
            </w:r>
          </w:p>
        </w:tc>
        <w:tc>
          <w:tcPr>
            <w:tcW w:w="125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人力资源部</w:t>
            </w:r>
          </w:p>
        </w:tc>
        <w:tc>
          <w:tcPr>
            <w:tcW w:w="133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2025年 3 月</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2025年 6 月</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4</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运维服务能力管理体系过程控制</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1. 各部门强化工作范围内的执行规范，严格按照管理规定，做好服务工作的过程控制，保障过程文档记录的有效性和完整性，做到有章可循、有据可查；</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2. 运维部认真做好定期的服务回顾与报告分析，继续强化周例会、服务巡检、检查审核，针对总结出的问题认真处置，保持一种较好的服务状态；</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运维部经理</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lang w:val="en-US" w:eastAsia="en-US"/>
              </w:rPr>
              <w:t>全年</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5</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客户满意度调查</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质量部每年对运维服务客户进行公司级客户满意度调查。</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运维部、质量部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2025年</w:t>
            </w:r>
            <w:r>
              <w:rPr>
                <w:rFonts w:ascii="宋体" w:eastAsia="宋体" w:hAnsi="宋体" w:cs="宋体" w:hint="eastAsia"/>
                <w:sz w:val="19"/>
                <w:szCs w:val="19"/>
                <w:lang w:val="en-US" w:eastAsia="zh-CN"/>
              </w:rPr>
              <w:t>10</w:t>
            </w:r>
            <w:r>
              <w:rPr>
                <w:rFonts w:ascii="宋体" w:eastAsia="宋体" w:hAnsi="宋体" w:cs="宋体" w:hint="eastAsia"/>
                <w:sz w:val="19"/>
                <w:szCs w:val="19"/>
              </w:rPr>
              <w:t>月</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6</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内审</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 xml:space="preserve"> 按规定要求制订审核计划，选好内审员，做好内审前培训；做好各项准备工作，开预备会议；</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现场审核，做好审核记录；</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编写审核报告并及时下发；</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对不符合项按规定认真进行整改和验证。</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管理者代表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2025年</w:t>
            </w:r>
            <w:r>
              <w:rPr>
                <w:rFonts w:ascii="宋体" w:eastAsia="宋体" w:hAnsi="宋体" w:cs="宋体" w:hint="eastAsia"/>
                <w:sz w:val="19"/>
                <w:szCs w:val="19"/>
                <w:lang w:val="en-US" w:eastAsia="zh-CN"/>
              </w:rPr>
              <w:t>10</w:t>
            </w:r>
            <w:r>
              <w:rPr>
                <w:rFonts w:ascii="宋体" w:eastAsia="宋体" w:hAnsi="宋体" w:cs="宋体" w:hint="eastAsia"/>
                <w:sz w:val="19"/>
                <w:szCs w:val="19"/>
              </w:rPr>
              <w:t>月（外审前进行一次）</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7</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管理评审</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1. 根据总经理意见，质量部编制运维服务管理评审计划，组织编制管理评审专题报告</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2. 副总经理组织汇报及评审材料，提交会议评审；</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3. 总经理主持，有关部门和人 员参加，实施运维服务管理评审，并做好记录；编制评审报告并发放；</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4. 实施运维服务管理评审报告有关工作。</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管理者代表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2025年</w:t>
            </w:r>
            <w:r>
              <w:rPr>
                <w:rFonts w:ascii="宋体" w:eastAsia="宋体" w:hAnsi="宋体" w:cs="宋体" w:hint="eastAsia"/>
                <w:sz w:val="19"/>
                <w:szCs w:val="19"/>
                <w:lang w:val="en-US" w:eastAsia="zh-CN"/>
              </w:rPr>
              <w:t>10</w:t>
            </w:r>
            <w:r>
              <w:rPr>
                <w:rFonts w:ascii="宋体" w:eastAsia="宋体" w:hAnsi="宋体" w:cs="宋体" w:hint="eastAsia"/>
                <w:sz w:val="19"/>
                <w:szCs w:val="19"/>
              </w:rPr>
              <w:t>月</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（外审前进行一次）</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8</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运维服务质量目标实施效果分析评价</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1. 运维部经理结合部门年 初制定的运维服务质量目标对策表，针对质量目标进行逐条评价，形成运维服务质量目标实施效果分析评价报告。</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 质量部根据质量目标分析 评价报告，形成公司级运维服务质量目标实施效果分析评价报告。</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运维部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运维部经理</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2025年</w:t>
            </w:r>
            <w:r>
              <w:rPr>
                <w:rFonts w:ascii="宋体" w:eastAsia="宋体" w:hAnsi="宋体" w:cs="宋体" w:hint="eastAsia"/>
                <w:sz w:val="19"/>
                <w:szCs w:val="19"/>
                <w:lang w:val="en-US" w:eastAsia="zh-CN"/>
              </w:rPr>
              <w:t>10</w:t>
            </w:r>
            <w:r>
              <w:rPr>
                <w:rFonts w:ascii="宋体" w:eastAsia="宋体" w:hAnsi="宋体" w:cs="宋体" w:hint="eastAsia"/>
                <w:sz w:val="19"/>
                <w:szCs w:val="19"/>
              </w:rPr>
              <w:t>月</w:t>
            </w:r>
          </w:p>
        </w:tc>
      </w:tr>
      <w:tr>
        <w:tblPrEx>
          <w:tblW w:w="0" w:type="auto"/>
          <w:tblInd w:w="0" w:type="dxa"/>
          <w:tblCellMar>
            <w:top w:w="0" w:type="dxa"/>
            <w:left w:w="108" w:type="dxa"/>
            <w:bottom w:w="0" w:type="dxa"/>
            <w:right w:w="108" w:type="dxa"/>
          </w:tblCellMar>
        </w:tblPrEx>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9</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体系文件的持续修订</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rPr>
            </w:pPr>
            <w:r>
              <w:rPr>
                <w:rFonts w:ascii="宋体" w:eastAsia="宋体" w:hAnsi="宋体" w:cs="宋体" w:hint="eastAsia"/>
                <w:sz w:val="19"/>
                <w:szCs w:val="19"/>
              </w:rPr>
              <w:t>1. 公司各部门日常管理工作流程如发现与体系文件不匹配的情况，根据自身情况对体系文件进行修订、评审、改进。</w:t>
            </w: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2. 在内审、管理评审中，发现公司体系文件与 ITSS 标准不符合的情况，应及时对体系文件提出修改建议，持续修订、改进。</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质量部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各有关部门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管理者代表</w:t>
            </w:r>
          </w:p>
        </w:tc>
        <w:tc>
          <w:tcPr>
            <w:tcW w:w="0" w:type="auto"/>
            <w:shd w:val="clear" w:color="auto" w:fill="auto"/>
          </w:tcPr>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hint="eastAsia"/>
                <w:sz w:val="19"/>
                <w:szCs w:val="19"/>
                <w:lang w:val="en-US" w:eastAsia="en-US"/>
              </w:rPr>
            </w:pPr>
            <w:r>
              <w:rPr>
                <w:rFonts w:ascii="宋体" w:eastAsia="宋体" w:hAnsi="宋体" w:cs="宋体" w:hint="eastAsia"/>
                <w:sz w:val="19"/>
                <w:szCs w:val="19"/>
              </w:rPr>
              <w:t>全年</w:t>
            </w:r>
          </w:p>
        </w:tc>
      </w:tr>
    </w:tbl>
    <w:p>
      <w:pPr>
        <w:pStyle w:val="BodyText"/>
        <w:keepNext w:val="0"/>
        <w:keepLines w:val="0"/>
        <w:pageBreakBefore w:val="0"/>
        <w:widowControl w:val="0"/>
        <w:kinsoku w:val="0"/>
        <w:wordWrap/>
        <w:overflowPunct/>
        <w:topLinePunct w:val="0"/>
        <w:autoSpaceDE w:val="0"/>
        <w:autoSpaceDN w:val="0"/>
        <w:bidi w:val="0"/>
        <w:adjustRightInd w:val="0"/>
        <w:snapToGrid w:val="0"/>
      </w:pPr>
    </w:p>
    <w:sectPr>
      <w:footerReference w:type="default" r:id="rId7"/>
      <w:pgSz w:w="11906" w:h="16839"/>
      <w:pgMar w:top="1264" w:right="702" w:bottom="1637" w:left="703" w:header="0" w:footer="1385"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52" w:lineRule="auto"/>
      <w:rPr>
        <w:sz w:val="2"/>
      </w:rPr>
    </w:pPr>
    <w:r>
      <w:pict>
        <v:shape id="_x0000_s4097" o:spid="_x0000_s2049" style="height:0.25pt;margin-left:88.4pt;margin-top:780.7pt;mso-height-relative:page;mso-position-horizontal-relative:page;mso-position-vertical-relative:page;mso-width-relative:page;position:absolute;width:418.5pt;z-index:251658240" coordsize="8370,5" o:allowincell="f" path="m,2l8369,2e" filled="f" stroked="t">
          <v:stroke joinstyle="miter"/>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before="6" w:line="236" w:lineRule="exact"/>
      <w:ind w:left="4142"/>
      <w:rPr>
        <w:sz w:val="18"/>
        <w:szCs w:val="18"/>
      </w:rPr>
    </w:pPr>
    <w:r>
      <w:pict>
        <v:shape id="_x0000_s4098" o:spid="_x0000_s2050" style="height:0.25pt;margin-left:88.4pt;margin-top:760pt;mso-height-relative:page;mso-position-horizontal-relative:page;mso-position-vertical-relative:page;mso-width-relative:page;position:absolute;width:418.5pt;z-index:251659264" coordsize="8370,5" o:allowincell="f" path="m,2l8370,2e" filled="f" stroked="t">
          <v:stroke joinstyle="miter"/>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pBdr>
        <w:top w:val="nil"/>
        <w:left w:val="nil"/>
        <w:bottom w:val="nil"/>
        <w:right w:val="nil"/>
        <w:between w:val="nil"/>
      </w:pBdr>
      <w:spacing w:before="6" w:line="236" w:lineRule="exact"/>
      <w:ind w:left="5155"/>
      <w:rPr>
        <w:sz w:val="18"/>
        <w:szCs w:val="18"/>
      </w:rPr>
    </w:pPr>
    <w:r>
      <w:pict>
        <v:shape id="_x0000_s4099" o:spid="_x0000_s2051" style="height:0.25pt;margin-left:88.4pt;margin-top:760pt;mso-height-relative:page;mso-position-horizontal-relative:page;mso-position-vertical-relative:page;mso-width-relative:page;position:absolute;width:418.5pt;z-index:251660288" coordsize="8370,5" o:allowincell="f" path="m,2l8369,2e" filled="f" stroked="t">
          <v:stroke joinstyle="miter"/>
        </v:shape>
      </w:pict>
    </w:r>
    <w:r>
      <w:rPr>
        <w:spacing w:val="-2"/>
        <w:position w:val="1"/>
        <w:sz w:val="18"/>
        <w:szCs w:val="18"/>
      </w:rPr>
      <w:t>28</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D5A0353B"/>
    <w:multiLevelType w:val="singleLevel"/>
    <w:tmpl w:val="D5A0353B"/>
    <w:lvl w:ilvl="0">
      <w:start w:val="1"/>
      <w:numFmt w:val="decimal"/>
      <w:suff w:val="nothing"/>
      <w:lvlText w:val="%1、"/>
      <w:lvlJc w:val="left"/>
    </w:lvl>
  </w:abstractNum>
  <w:abstractNum w:abstractNumId="2">
    <w:nsid w:val="451FDF0A"/>
    <w:multiLevelType w:val="singleLevel"/>
    <w:tmpl w:val="451FDF0A"/>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character" w:customStyle="1" w:styleId="font11">
    <w:name w:val="font11"/>
    <w:basedOn w:val="DefaultParagraphFont"/>
    <w:qFormat/>
    <w:rPr>
      <w:rFonts w:ascii="宋体" w:eastAsia="宋体" w:hAnsi="宋体" w:cs="宋体" w:hint="eastAsia"/>
      <w:color w:val="000000"/>
      <w:sz w:val="16"/>
      <w:szCs w:val="16"/>
      <w:u w:val="none"/>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Pages>23</Pages>
  <Words>11007</Words>
  <Characters>11621</Characters>
  <Application>Microsoft Office Word</Application>
  <DocSecurity>0</DocSecurity>
  <Lines>0</Lines>
  <Paragraphs>0</Paragraphs>
  <ScaleCrop>false</ScaleCrop>
  <Company/>
  <LinksUpToDate>false</LinksUpToDate>
  <CharactersWithSpaces>12506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XXXX市电子政务安全防护系统技术方案建议书</dc:title>
  <dc:creator>杜旭晖</dc:creator>
  <cp:lastModifiedBy>郝宇</cp:lastModifiedBy>
  <cp:revision>0</cp:revision>
  <dcterms:created xsi:type="dcterms:W3CDTF">2025-08-16T13:15:00Z</dcterms:created>
  <dcterms:modified xsi:type="dcterms:W3CDTF">2026-01-08T17:18:33Z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2025-08-16T13:16:03Z</vt:filetime>
  </property>
  <property fmtid="{D5CDD505-2E9C-101B-9397-08002B2CF9AE}" pid="3" name="CRO">
    <vt:lpwstr>wqlLaW5nc29mdCBQREYgdG8gV1BTIDExNQ</vt:lpwstr>
  </property>
  <property fmtid="{D5CDD505-2E9C-101B-9397-08002B2CF9AE}" pid="4" name="ICV">
    <vt:lpwstr>DCC3C7A184964F008B43613826B1F13E_12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