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8DACDC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26252E4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0" w:name="_Toc29963"/>
      <w:r>
        <w:t>内部审核管理制度</w:t>
      </w:r>
      <w:bookmarkEnd w:id="0"/>
    </w:p>
    <w:p w14:paraId="0D108DE9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" w:name="_Toc8672"/>
      <w:r>
        <w:t>中达丰集团有限公司</w:t>
      </w:r>
      <w:bookmarkEnd w:id="1"/>
    </w:p>
    <w:p w14:paraId="260DAE0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24" w:line="220" w:lineRule="auto"/>
        <w:ind w:left="2925"/>
        <w:textAlignment w:val="baseline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11"/>
          <w:sz w:val="36"/>
          <w:szCs w:val="36"/>
        </w:rPr>
        <w:t>2025年4月4日</w:t>
      </w:r>
    </w:p>
    <w:p w14:paraId="3159849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20" w:lineRule="auto"/>
        <w:textAlignment w:val="baseline"/>
        <w:rPr>
          <w:rFonts w:ascii="宋体" w:hAnsi="宋体" w:eastAsia="宋体" w:cs="宋体"/>
          <w:sz w:val="36"/>
          <w:szCs w:val="36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28C0F1E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5" w:line="220" w:lineRule="auto"/>
        <w:ind w:left="3828"/>
        <w:textAlignment w:val="baseline"/>
        <w:outlineLvl w:val="0"/>
        <w:rPr>
          <w:rFonts w:ascii="宋体" w:hAnsi="宋体" w:eastAsia="宋体" w:cs="宋体"/>
          <w:sz w:val="28"/>
          <w:szCs w:val="28"/>
        </w:rPr>
      </w:pPr>
      <w:bookmarkStart w:id="2" w:name="_Toc6513"/>
      <w:r>
        <w:rPr>
          <w:rFonts w:ascii="宋体" w:hAnsi="宋体" w:eastAsia="宋体" w:cs="宋体"/>
          <w:spacing w:val="-3"/>
          <w:sz w:val="28"/>
          <w:szCs w:val="28"/>
        </w:rPr>
        <w:t>文档信息</w:t>
      </w:r>
      <w:bookmarkEnd w:id="2"/>
    </w:p>
    <w:tbl>
      <w:tblPr>
        <w:tblStyle w:val="24"/>
        <w:tblW w:w="9145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3"/>
        <w:gridCol w:w="1696"/>
        <w:gridCol w:w="2341"/>
        <w:gridCol w:w="1982"/>
        <w:gridCol w:w="1563"/>
      </w:tblGrid>
      <w:tr w14:paraId="270276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563" w:type="dxa"/>
          </w:tcPr>
          <w:p w14:paraId="2830E80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112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文档名称编号</w:t>
            </w:r>
          </w:p>
        </w:tc>
        <w:tc>
          <w:tcPr>
            <w:tcW w:w="7582" w:type="dxa"/>
            <w:gridSpan w:val="4"/>
          </w:tcPr>
          <w:p w14:paraId="1893894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133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内部审核管理制度（ZDFJT-ITSS-NBSHGL）</w:t>
            </w:r>
          </w:p>
        </w:tc>
      </w:tr>
      <w:tr w14:paraId="5CB736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563" w:type="dxa"/>
          </w:tcPr>
          <w:p w14:paraId="19B87E8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6" w:line="220" w:lineRule="auto"/>
              <w:ind w:left="112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编制单位</w:t>
            </w:r>
          </w:p>
        </w:tc>
        <w:tc>
          <w:tcPr>
            <w:tcW w:w="7582" w:type="dxa"/>
            <w:gridSpan w:val="4"/>
          </w:tcPr>
          <w:p w14:paraId="05EC0D1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7" w:line="219" w:lineRule="auto"/>
              <w:ind w:left="108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中达丰集团有限公司</w:t>
            </w:r>
          </w:p>
        </w:tc>
      </w:tr>
      <w:tr w14:paraId="2B14B6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563" w:type="dxa"/>
          </w:tcPr>
          <w:p w14:paraId="51F123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7" w:line="220" w:lineRule="auto"/>
              <w:ind w:left="112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文档密级</w:t>
            </w:r>
          </w:p>
        </w:tc>
        <w:tc>
          <w:tcPr>
            <w:tcW w:w="7582" w:type="dxa"/>
            <w:gridSpan w:val="4"/>
          </w:tcPr>
          <w:p w14:paraId="6076189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7" w:line="220" w:lineRule="auto"/>
              <w:ind w:left="107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秘密</w:t>
            </w:r>
          </w:p>
        </w:tc>
      </w:tr>
      <w:tr w14:paraId="70239A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563" w:type="dxa"/>
          </w:tcPr>
          <w:p w14:paraId="1180CF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19" w:lineRule="auto"/>
              <w:ind w:left="364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文档版本</w:t>
            </w:r>
          </w:p>
        </w:tc>
        <w:tc>
          <w:tcPr>
            <w:tcW w:w="1696" w:type="dxa"/>
          </w:tcPr>
          <w:p w14:paraId="6D1E24A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19" w:lineRule="auto"/>
              <w:ind w:left="430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版本日期</w:t>
            </w:r>
          </w:p>
        </w:tc>
        <w:tc>
          <w:tcPr>
            <w:tcW w:w="2341" w:type="dxa"/>
          </w:tcPr>
          <w:p w14:paraId="67FAC68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19" w:lineRule="auto"/>
              <w:ind w:left="754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版本说明</w:t>
            </w:r>
          </w:p>
        </w:tc>
        <w:tc>
          <w:tcPr>
            <w:tcW w:w="1982" w:type="dxa"/>
          </w:tcPr>
          <w:p w14:paraId="37EBAE2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787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作者</w:t>
            </w:r>
          </w:p>
        </w:tc>
        <w:tc>
          <w:tcPr>
            <w:tcW w:w="1563" w:type="dxa"/>
          </w:tcPr>
          <w:p w14:paraId="4380425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586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审核</w:t>
            </w:r>
          </w:p>
        </w:tc>
      </w:tr>
      <w:tr w14:paraId="73025E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563" w:type="dxa"/>
          </w:tcPr>
          <w:p w14:paraId="53D8FE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3" w:line="239" w:lineRule="auto"/>
              <w:ind w:left="568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V1.0</w:t>
            </w:r>
          </w:p>
        </w:tc>
        <w:tc>
          <w:tcPr>
            <w:tcW w:w="1696" w:type="dxa"/>
          </w:tcPr>
          <w:p w14:paraId="623F35B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3"/>
              <w:ind w:left="431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2025-4-4</w:t>
            </w:r>
          </w:p>
        </w:tc>
        <w:tc>
          <w:tcPr>
            <w:tcW w:w="2341" w:type="dxa"/>
          </w:tcPr>
          <w:p w14:paraId="733A9F3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3" w:line="219" w:lineRule="auto"/>
              <w:ind w:left="757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发布版本</w:t>
            </w:r>
          </w:p>
        </w:tc>
        <w:tc>
          <w:tcPr>
            <w:tcW w:w="1982" w:type="dxa"/>
          </w:tcPr>
          <w:p w14:paraId="5EB378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3" w:line="220" w:lineRule="auto"/>
              <w:ind w:left="682"/>
              <w:textAlignment w:val="baseline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李平</w:t>
            </w:r>
          </w:p>
        </w:tc>
        <w:tc>
          <w:tcPr>
            <w:tcW w:w="1563" w:type="dxa"/>
          </w:tcPr>
          <w:p w14:paraId="56AB87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4" w:line="220" w:lineRule="auto"/>
              <w:ind w:left="481"/>
              <w:textAlignment w:val="baseline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吴向阳</w:t>
            </w:r>
          </w:p>
        </w:tc>
      </w:tr>
      <w:tr w14:paraId="50C190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563" w:type="dxa"/>
          </w:tcPr>
          <w:p w14:paraId="067C49A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696" w:type="dxa"/>
          </w:tcPr>
          <w:p w14:paraId="6677AF0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341" w:type="dxa"/>
          </w:tcPr>
          <w:p w14:paraId="2B3671D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82" w:type="dxa"/>
          </w:tcPr>
          <w:p w14:paraId="7DB1507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63" w:type="dxa"/>
          </w:tcPr>
          <w:p w14:paraId="6BD3977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4361E4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563" w:type="dxa"/>
          </w:tcPr>
          <w:p w14:paraId="7808C12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696" w:type="dxa"/>
          </w:tcPr>
          <w:p w14:paraId="0DDC174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341" w:type="dxa"/>
          </w:tcPr>
          <w:p w14:paraId="308BBF7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82" w:type="dxa"/>
          </w:tcPr>
          <w:p w14:paraId="7261026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63" w:type="dxa"/>
          </w:tcPr>
          <w:p w14:paraId="7E67C77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4C7565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563" w:type="dxa"/>
          </w:tcPr>
          <w:p w14:paraId="7DE0276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696" w:type="dxa"/>
          </w:tcPr>
          <w:p w14:paraId="53384A0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341" w:type="dxa"/>
          </w:tcPr>
          <w:p w14:paraId="2C4EB31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82" w:type="dxa"/>
          </w:tcPr>
          <w:p w14:paraId="4A7D40A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63" w:type="dxa"/>
          </w:tcPr>
          <w:p w14:paraId="3FF503F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0533C8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563" w:type="dxa"/>
          </w:tcPr>
          <w:p w14:paraId="0EA5806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696" w:type="dxa"/>
          </w:tcPr>
          <w:p w14:paraId="058202E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341" w:type="dxa"/>
          </w:tcPr>
          <w:p w14:paraId="4D31570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82" w:type="dxa"/>
          </w:tcPr>
          <w:p w14:paraId="1A48AFD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63" w:type="dxa"/>
          </w:tcPr>
          <w:p w14:paraId="773D82E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4C6413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563" w:type="dxa"/>
          </w:tcPr>
          <w:p w14:paraId="6114BAE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696" w:type="dxa"/>
          </w:tcPr>
          <w:p w14:paraId="5FD840D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341" w:type="dxa"/>
          </w:tcPr>
          <w:p w14:paraId="13B794D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82" w:type="dxa"/>
          </w:tcPr>
          <w:p w14:paraId="3DA9B6B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63" w:type="dxa"/>
          </w:tcPr>
          <w:p w14:paraId="64AB4CB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</w:tbl>
    <w:p w14:paraId="4E6436E9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4E35BC1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sectPr>
          <w:pgSz w:w="11907" w:h="16840"/>
          <w:pgMar w:top="1253" w:right="1173" w:bottom="0" w:left="1578" w:header="0" w:footer="0" w:gutter="0"/>
          <w:cols w:space="720" w:num="1"/>
        </w:sectPr>
      </w:pP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6917"/>
        <w:docPartObj>
          <w:docPartGallery w:val="Table of Contents"/>
          <w:docPartUnique/>
        </w:docPartObj>
      </w:sdtPr>
      <w:sdtEndPr>
        <w:rPr>
          <w:rFonts w:hint="eastAsia" w:ascii="Microsoft JhengHei" w:hAnsi="Microsoft JhengHei" w:eastAsia="Microsoft JhengHei" w:cs="Microsoft JhengHei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1F43C709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21811568">
          <w:pPr>
            <w:pStyle w:val="16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TOC \o "1-3" \h \u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_Toc29963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t>内部审核管理制度</w:t>
          </w:r>
          <w:r>
            <w:tab/>
          </w:r>
          <w:r>
            <w:fldChar w:fldCharType="begin"/>
          </w:r>
          <w:r>
            <w:instrText xml:space="preserve"> PAGEREF _Toc29963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43B49041">
          <w:pPr>
            <w:pStyle w:val="16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_Toc8672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t>中达丰集团有限公司</w:t>
          </w:r>
          <w:r>
            <w:tab/>
          </w:r>
          <w:r>
            <w:fldChar w:fldCharType="begin"/>
          </w:r>
          <w:r>
            <w:instrText xml:space="preserve"> PAGEREF _Toc8672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31519D4E">
          <w:pPr>
            <w:pStyle w:val="16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_Toc6513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ascii="宋体" w:hAnsi="宋体" w:eastAsia="宋体" w:cs="宋体"/>
              <w:spacing w:val="-3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_Toc6513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64E3E78C">
          <w:pPr>
            <w:pStyle w:val="16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_Toc22144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_Toc22144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57CF548E">
          <w:pPr>
            <w:pStyle w:val="16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_Toc6712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适用范围</w:t>
          </w:r>
          <w:r>
            <w:tab/>
          </w:r>
          <w:r>
            <w:fldChar w:fldCharType="begin"/>
          </w:r>
          <w:r>
            <w:instrText xml:space="preserve"> PAGEREF _Toc6712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6344DC7F">
          <w:pPr>
            <w:pStyle w:val="16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_Toc27602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职责</w:t>
          </w:r>
          <w:r>
            <w:tab/>
          </w:r>
          <w:r>
            <w:fldChar w:fldCharType="begin"/>
          </w:r>
          <w:r>
            <w:instrText xml:space="preserve"> PAGEREF _Toc27602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7C443339">
          <w:pPr>
            <w:pStyle w:val="17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_Toc14446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t>质量部</w:t>
          </w:r>
          <w:r>
            <w:tab/>
          </w:r>
          <w:r>
            <w:fldChar w:fldCharType="begin"/>
          </w:r>
          <w:r>
            <w:instrText xml:space="preserve"> PAGEREF _Toc14446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E3DAF62">
          <w:pPr>
            <w:pStyle w:val="17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_Toc1871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t>其他相关部门</w:t>
          </w:r>
          <w:r>
            <w:tab/>
          </w:r>
          <w:r>
            <w:fldChar w:fldCharType="begin"/>
          </w:r>
          <w:r>
            <w:instrText xml:space="preserve"> PAGEREF _Toc1871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636EDC0C">
          <w:pPr>
            <w:pStyle w:val="17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_Toc20930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t>工作程序</w:t>
          </w:r>
          <w:r>
            <w:tab/>
          </w:r>
          <w:r>
            <w:fldChar w:fldCharType="begin"/>
          </w:r>
          <w:r>
            <w:instrText xml:space="preserve"> PAGEREF _Toc20930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7241A7D9">
          <w:pPr>
            <w:pStyle w:val="13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_Toc3480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3.3.1. </w:t>
          </w:r>
          <w:r>
            <w:rPr>
              <w:rFonts w:hint="eastAsia"/>
            </w:rPr>
            <w:t>审核的频次</w:t>
          </w:r>
          <w:r>
            <w:tab/>
          </w:r>
          <w:r>
            <w:fldChar w:fldCharType="begin"/>
          </w:r>
          <w:r>
            <w:instrText xml:space="preserve"> PAGEREF _Toc3480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32B9DC9">
          <w:pPr>
            <w:pStyle w:val="13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_Toc1846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3.3.2. </w:t>
          </w:r>
          <w:r>
            <w:rPr>
              <w:rFonts w:hint="eastAsia"/>
            </w:rPr>
            <w:t>审核的策划</w:t>
          </w:r>
          <w:r>
            <w:tab/>
          </w:r>
          <w:r>
            <w:fldChar w:fldCharType="begin"/>
          </w:r>
          <w:r>
            <w:instrText xml:space="preserve"> PAGEREF _Toc1846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250BF81B">
          <w:pPr>
            <w:pStyle w:val="13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_Toc22250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3.3.3. </w:t>
          </w:r>
          <w:r>
            <w:rPr>
              <w:rFonts w:hint="eastAsia"/>
            </w:rPr>
            <w:t>审核组</w:t>
          </w:r>
          <w:r>
            <w:tab/>
          </w:r>
          <w:r>
            <w:fldChar w:fldCharType="begin"/>
          </w:r>
          <w:r>
            <w:instrText xml:space="preserve"> PAGEREF _Toc22250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18A0623D">
          <w:pPr>
            <w:pStyle w:val="17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_Toc9808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3.4. </w:t>
          </w:r>
          <w:r>
            <w:rPr>
              <w:rFonts w:hint="eastAsia"/>
            </w:rPr>
            <w:t>审核依据</w:t>
          </w:r>
          <w:r>
            <w:tab/>
          </w:r>
          <w:r>
            <w:fldChar w:fldCharType="begin"/>
          </w:r>
          <w:r>
            <w:instrText xml:space="preserve"> PAGEREF _Toc9808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6790023C">
          <w:pPr>
            <w:pStyle w:val="17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_Toc24585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3.5. </w:t>
          </w:r>
          <w:r>
            <w:t>审核的计划</w:t>
          </w:r>
          <w:r>
            <w:tab/>
          </w:r>
          <w:r>
            <w:fldChar w:fldCharType="begin"/>
          </w:r>
          <w:r>
            <w:instrText xml:space="preserve"> PAGEREF _Toc24585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44CC527A">
          <w:pPr>
            <w:pStyle w:val="16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_Toc20690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审核的准备</w:t>
          </w:r>
          <w:r>
            <w:tab/>
          </w:r>
          <w:r>
            <w:fldChar w:fldCharType="begin"/>
          </w:r>
          <w:r>
            <w:instrText xml:space="preserve"> PAGEREF _Toc20690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167FAFA">
          <w:pPr>
            <w:pStyle w:val="16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_Toc9101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审核的实施</w:t>
          </w:r>
          <w:r>
            <w:tab/>
          </w:r>
          <w:r>
            <w:fldChar w:fldCharType="begin"/>
          </w:r>
          <w:r>
            <w:instrText xml:space="preserve"> PAGEREF _Toc9101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2DC40B8">
          <w:pPr>
            <w:pStyle w:val="16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_Toc32583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不符合项报告</w:t>
          </w:r>
          <w:r>
            <w:tab/>
          </w:r>
          <w:r>
            <w:fldChar w:fldCharType="begin"/>
          </w:r>
          <w:r>
            <w:instrText xml:space="preserve"> PAGEREF _Toc32583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8C051E7">
          <w:pPr>
            <w:pStyle w:val="16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_Toc26312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7. </w:t>
          </w:r>
          <w:r>
            <w:t>审核报告</w:t>
          </w:r>
          <w:r>
            <w:tab/>
          </w:r>
          <w:r>
            <w:fldChar w:fldCharType="begin"/>
          </w:r>
          <w:r>
            <w:instrText xml:space="preserve"> PAGEREF _Toc26312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647A77C7">
          <w:pPr>
            <w:pStyle w:val="16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_Toc7399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8. </w:t>
          </w:r>
          <w:r>
            <w:t>总结会议</w:t>
          </w:r>
          <w:r>
            <w:tab/>
          </w:r>
          <w:r>
            <w:fldChar w:fldCharType="begin"/>
          </w:r>
          <w:r>
            <w:instrText xml:space="preserve"> PAGEREF _Toc7399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1B7591C7">
          <w:pPr>
            <w:pStyle w:val="16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_Toc24213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9. </w:t>
          </w:r>
          <w:r>
            <w:t>服务改进措施</w:t>
          </w:r>
          <w:r>
            <w:tab/>
          </w:r>
          <w:r>
            <w:fldChar w:fldCharType="begin"/>
          </w:r>
          <w:r>
            <w:instrText xml:space="preserve"> PAGEREF _Toc24213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2176B89F">
          <w:pPr>
            <w:pStyle w:val="16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_Toc12187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10. </w:t>
          </w:r>
          <w:r>
            <w:t>跟踪验证</w:t>
          </w:r>
          <w:r>
            <w:tab/>
          </w:r>
          <w:r>
            <w:fldChar w:fldCharType="begin"/>
          </w:r>
          <w:r>
            <w:instrText xml:space="preserve"> PAGEREF _Toc12187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6F3D0A93">
          <w:pPr>
            <w:pStyle w:val="16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_Toc29641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11. </w:t>
          </w:r>
          <w:r>
            <w:rPr>
              <w:rFonts w:hint="eastAsia"/>
              <w:lang w:val="en-US" w:eastAsia="zh-CN"/>
            </w:rPr>
            <w:t>流程衡量指标</w:t>
          </w:r>
          <w:r>
            <w:tab/>
          </w:r>
          <w:r>
            <w:fldChar w:fldCharType="begin"/>
          </w:r>
          <w:r>
            <w:instrText xml:space="preserve"> PAGEREF _Toc29641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A4597D0">
          <w:pPr>
            <w:pStyle w:val="16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_Toc21805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12. </w:t>
          </w:r>
          <w:r>
            <w:t>内审记录</w:t>
          </w:r>
          <w:r>
            <w:tab/>
          </w:r>
          <w:r>
            <w:fldChar w:fldCharType="begin"/>
          </w:r>
          <w:r>
            <w:instrText xml:space="preserve"> PAGEREF _Toc21805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5F2E1DA3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20" w:lineRule="auto"/>
            <w:textAlignment w:val="baseline"/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</w:sdtContent>
    </w:sdt>
    <w:p w14:paraId="4BF3961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20" w:lineRule="auto"/>
        <w:textAlignment w:val="baseline"/>
        <w:rPr>
          <w:rFonts w:ascii="宋体" w:hAnsi="宋体" w:eastAsia="宋体" w:cs="宋体"/>
          <w:snapToGrid w:val="0"/>
          <w:color w:val="000000"/>
          <w:kern w:val="0"/>
          <w:sz w:val="21"/>
          <w:szCs w:val="21"/>
          <w:lang w:val="en-US" w:eastAsia="en-US" w:bidi="ar-SA"/>
        </w:rPr>
        <w:sectPr>
          <w:headerReference r:id="rId5" w:type="default"/>
          <w:footerReference r:id="rId6" w:type="default"/>
          <w:pgSz w:w="11907" w:h="16840"/>
          <w:pgMar w:top="1162" w:right="1768" w:bottom="1359" w:left="1768" w:header="830" w:footer="1198" w:gutter="0"/>
          <w:cols w:space="720" w:num="1"/>
        </w:sectPr>
      </w:pPr>
    </w:p>
    <w:p w14:paraId="5E953D17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" w:name="_Toc22144"/>
      <w:r>
        <w:t>目的</w:t>
      </w:r>
      <w:bookmarkEnd w:id="3"/>
    </w:p>
    <w:p w14:paraId="2DDA25D6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确定中达丰集团有限公司的ITSS运维服务质量管理体系是否满足规定要求，以及是否得到有效实施和保持。</w:t>
      </w:r>
    </w:p>
    <w:p w14:paraId="3E13B8A9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" w:name="_Toc6712"/>
      <w:r>
        <w:t>适用范围</w:t>
      </w:r>
      <w:bookmarkEnd w:id="4"/>
    </w:p>
    <w:p w14:paraId="2DD2119D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适用于中达丰集团有限公司的运维服务管理体系的内审。</w:t>
      </w:r>
    </w:p>
    <w:p w14:paraId="2E5E585A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" w:name="_Toc27602"/>
      <w:r>
        <w:t>职责</w:t>
      </w:r>
      <w:bookmarkEnd w:id="5"/>
    </w:p>
    <w:p w14:paraId="2A458EF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" w:name="bookmark21"/>
      <w:bookmarkEnd w:id="6"/>
      <w:bookmarkStart w:id="7" w:name="_Toc14446"/>
      <w:r>
        <w:t>质量部</w:t>
      </w:r>
      <w:bookmarkEnd w:id="7"/>
    </w:p>
    <w:p w14:paraId="38C6C7E8">
      <w:pPr>
        <w:pStyle w:val="27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质量部负责制订《内审计划》，由</w:t>
      </w:r>
      <w:r>
        <w:rPr>
          <w:rFonts w:hint="eastAsia"/>
          <w:lang w:val="en-US" w:eastAsia="zh-CN"/>
        </w:rPr>
        <w:t>经理</w:t>
      </w:r>
      <w:r>
        <w:t>审批，质量部负责组织内审活动，组建审核组。</w:t>
      </w:r>
    </w:p>
    <w:p w14:paraId="2BCF12AD">
      <w:pPr>
        <w:pStyle w:val="27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质量部经理或其他指定人员担任审核组长，负责组织编制内部质量体系审核检查表，并组织内审的实施，负责不符合项的跟踪验证。</w:t>
      </w:r>
    </w:p>
    <w:p w14:paraId="10EC073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8" w:name="_Toc1871"/>
      <w:r>
        <w:t>其他相关部门</w:t>
      </w:r>
      <w:bookmarkEnd w:id="8"/>
    </w:p>
    <w:p w14:paraId="4C0D2CC8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各受审核的部门配合审核工作的实施。</w:t>
      </w:r>
    </w:p>
    <w:p w14:paraId="7F5B8DE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" w:name="_Toc20930"/>
      <w:r>
        <w:t>工作程序</w:t>
      </w:r>
      <w:bookmarkEnd w:id="9"/>
    </w:p>
    <w:p w14:paraId="4A0FCEE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0" w:name="bookmark22"/>
      <w:bookmarkEnd w:id="10"/>
      <w:bookmarkStart w:id="11" w:name="_Toc3480"/>
      <w:r>
        <w:rPr>
          <w:rFonts w:hint="eastAsia"/>
        </w:rPr>
        <w:t>审核的频次</w:t>
      </w:r>
      <w:bookmarkEnd w:id="11"/>
    </w:p>
    <w:p w14:paraId="7DDE1146">
      <w:pPr>
        <w:pStyle w:val="3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完整的内审时间间隔不超过1年。</w:t>
      </w:r>
    </w:p>
    <w:p w14:paraId="04CEFB78">
      <w:pPr>
        <w:pStyle w:val="3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需要时经副总批准后，可增加部分或完整质量体系的审核。</w:t>
      </w:r>
    </w:p>
    <w:p w14:paraId="2976854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2" w:name="bookmark23"/>
      <w:bookmarkEnd w:id="12"/>
      <w:bookmarkStart w:id="13" w:name="_Toc1846"/>
      <w:r>
        <w:rPr>
          <w:rFonts w:hint="eastAsia"/>
        </w:rPr>
        <w:t>审核的策划</w:t>
      </w:r>
      <w:bookmarkEnd w:id="13"/>
    </w:p>
    <w:p w14:paraId="479AB00F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质量部经理负责将下一次内审的《内审计划》 并发至各部门，在内审前进行策划。</w:t>
      </w:r>
    </w:p>
    <w:p w14:paraId="241C04B8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策划时应考虑审核过程和区域的状况和重要性以及以往的审核结果。</w:t>
      </w:r>
    </w:p>
    <w:p w14:paraId="4CFD1AE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4" w:name="_Toc22250"/>
      <w:r>
        <w:rPr>
          <w:rFonts w:hint="eastAsia"/>
        </w:rPr>
        <w:t>审核组</w:t>
      </w:r>
      <w:bookmarkEnd w:id="14"/>
    </w:p>
    <w:p w14:paraId="53E2CA99">
      <w:pPr>
        <w:pStyle w:val="4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审核组成员</w:t>
      </w:r>
    </w:p>
    <w:p w14:paraId="26ABF693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审核组长由质量部经理或指定人员担任，根据审核特点从本公司的内审员中选定若干名组成审核组。审核组长对最终的审核结论和审核报告负责。</w:t>
      </w:r>
    </w:p>
    <w:p w14:paraId="0B47E41E">
      <w:pPr>
        <w:pStyle w:val="4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审核人员要求</w:t>
      </w:r>
    </w:p>
    <w:p w14:paraId="4AE9316A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在选择内审员时应考虑下列条件：</w:t>
      </w:r>
    </w:p>
    <w:p w14:paraId="7A5C23FC">
      <w:pPr>
        <w:pStyle w:val="3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审核员应是经培训合格的公司内审员。</w:t>
      </w:r>
    </w:p>
    <w:p w14:paraId="28491F62">
      <w:pPr>
        <w:pStyle w:val="3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应了解受审核部门运维体系运行情况和业务特点。</w:t>
      </w:r>
    </w:p>
    <w:p w14:paraId="12E62097">
      <w:pPr>
        <w:pStyle w:val="3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当本公司的内审能力不足时，可聘请外部专家协助审核。</w:t>
      </w:r>
    </w:p>
    <w:p w14:paraId="713748C8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5" w:name="_Toc9808"/>
      <w:r>
        <w:rPr>
          <w:rFonts w:hint="eastAsia"/>
        </w:rPr>
        <w:t>审核依据</w:t>
      </w:r>
      <w:bookmarkEnd w:id="15"/>
    </w:p>
    <w:p w14:paraId="1DB21E4E">
      <w:pPr>
        <w:pStyle w:val="3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GB/T28827.1-20</w:t>
      </w:r>
      <w:r>
        <w:rPr>
          <w:rFonts w:hint="eastAsia"/>
          <w:lang w:val="en-US" w:eastAsia="zh-CN"/>
        </w:rPr>
        <w:t>2</w:t>
      </w:r>
      <w:r>
        <w:t xml:space="preserve">2《信息技术服务  运行维护  第 </w:t>
      </w:r>
      <w:r>
        <w:rPr>
          <w:rFonts w:hint="eastAsia"/>
          <w:lang w:val="en-US" w:eastAsia="zh-CN"/>
        </w:rPr>
        <w:t>1</w:t>
      </w:r>
      <w:r>
        <w:t xml:space="preserve"> 部分：</w:t>
      </w:r>
      <w:r>
        <w:rPr>
          <w:rFonts w:hint="eastAsia"/>
          <w:lang w:val="en-US" w:eastAsia="zh-CN"/>
        </w:rPr>
        <w:t>通用要求</w:t>
      </w:r>
      <w:r>
        <w:t>》</w:t>
      </w:r>
    </w:p>
    <w:p w14:paraId="38A8A206">
      <w:pPr>
        <w:pStyle w:val="3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GB/T28827.1-20</w:t>
      </w:r>
      <w:r>
        <w:rPr>
          <w:rFonts w:hint="eastAsia"/>
          <w:lang w:val="en-US" w:eastAsia="zh-CN"/>
        </w:rPr>
        <w:t>1</w:t>
      </w:r>
      <w:r>
        <w:t xml:space="preserve">2《信息技术服务  运行维护  第 </w:t>
      </w:r>
      <w:r>
        <w:rPr>
          <w:rFonts w:hint="eastAsia"/>
          <w:lang w:val="en-US" w:eastAsia="zh-CN"/>
        </w:rPr>
        <w:t>2</w:t>
      </w:r>
      <w:r>
        <w:t xml:space="preserve"> 部分：交付规范》</w:t>
      </w:r>
    </w:p>
    <w:p w14:paraId="2FBD28EF">
      <w:pPr>
        <w:pStyle w:val="3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GB/T28827.3-2012《信息技术服务  运行维护  第 3 部分：应急响应规范》</w:t>
      </w:r>
    </w:p>
    <w:p w14:paraId="4F0EE1F8">
      <w:pPr>
        <w:pStyle w:val="3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rPr>
          <w:rFonts w:hint="eastAsia"/>
        </w:rPr>
        <w:t>T/CESA 1299—2023</w:t>
      </w:r>
      <w:r>
        <w:t>《信息技术服务 运行维护服务能力成熟度模型》。</w:t>
      </w:r>
    </w:p>
    <w:p w14:paraId="69CCF14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6" w:name="_Toc24585"/>
      <w:r>
        <w:t>审核的计划</w:t>
      </w:r>
      <w:bookmarkEnd w:id="16"/>
    </w:p>
    <w:p w14:paraId="4C22FC4B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审核组长与审核组其它成员一起制定《内审计划》和编写《内审检查表》，《内审计划》应确保审核员不能审核其所在的部门，《内审检查表》应充分考虑抽样的代表性、审核深度和上次审核纠正措施实施情况，并且审核前通知被审核部门。</w:t>
      </w:r>
    </w:p>
    <w:p w14:paraId="2E439D28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7" w:name="bookmark1"/>
      <w:bookmarkEnd w:id="17"/>
      <w:bookmarkStart w:id="18" w:name="_Toc20690"/>
      <w:r>
        <w:t>审核的准备</w:t>
      </w:r>
      <w:bookmarkEnd w:id="18"/>
    </w:p>
    <w:p w14:paraId="5350801D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审核组长将相关记录，如《不符合项报告》，《审核检查表》等发放给审核组成员，各审核员根据自己被分配的任务、范围、日程等来计划具体审核细节和时间分配等。</w:t>
      </w:r>
    </w:p>
    <w:p w14:paraId="60AA594B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9" w:name="_Toc9101"/>
      <w:r>
        <w:t>审核的实施</w:t>
      </w:r>
      <w:bookmarkEnd w:id="19"/>
    </w:p>
    <w:p w14:paraId="1E98B3AD">
      <w:pPr>
        <w:pStyle w:val="39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由审核组长主持，被审核部门负责人、审核组成员、主管副总裁参加的首次会议。审核组长介绍审核计划，审核的依据、目的、范围及方法，审核组成员及审核日程等。</w:t>
      </w:r>
    </w:p>
    <w:p w14:paraId="485EE8C7">
      <w:pPr>
        <w:pStyle w:val="39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审核组按审核计划实施审核，充分利用检查表，采取与有关人员面谈、观察现场及岗位工作人员操作、查阅各种记录的方式进行审核，收集客观证据。</w:t>
      </w:r>
    </w:p>
    <w:p w14:paraId="0CF2BDD6">
      <w:pPr>
        <w:pStyle w:val="39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面谈：审核人员根据检查表与被审核部门的负责人或当事人进行面谈、提问。部门负责人或当事人的讲话可作为证据，陪同人员的讲话不能作为证据。</w:t>
      </w:r>
    </w:p>
    <w:p w14:paraId="59F9EAE8">
      <w:pPr>
        <w:pStyle w:val="39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观察现场：察看作业现场的环境、操作等是否符合要求。</w:t>
      </w:r>
    </w:p>
    <w:p w14:paraId="1FE8F364">
      <w:pPr>
        <w:pStyle w:val="39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查文件和记录：向被审核部门负责人或当事人索取相关文件和记录，检查记录的完整性、真实性和一致性。</w:t>
      </w:r>
    </w:p>
    <w:p w14:paraId="6A3FB00F">
      <w:pPr>
        <w:pStyle w:val="39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各审核员对发现的不合格项填写在《内审检查表》中，同时让现场操作者和负责人确认，以保证不符合项能完全被理解，记录应尽可能详细，以确保审核结果的可追溯性。</w:t>
      </w:r>
    </w:p>
    <w:p w14:paraId="72E5CD38">
      <w:pPr>
        <w:pStyle w:val="39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不符合项分为严重不符合和一般不符合两类。对于未构成不符合项的问题可以作为观察项书面提出。</w:t>
      </w:r>
    </w:p>
    <w:p w14:paraId="6550E087">
      <w:pPr>
        <w:pStyle w:val="39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leftChars="0" w:hanging="425" w:firstLineChars="0"/>
        <w:textAlignment w:val="baseline"/>
      </w:pPr>
      <w:r>
        <w:t>严重不符合项：凡是审核中发现明显不符合 ITSS 能力成熟度三级要求标准规定的;  违反法律法规而造成严重质量事故的;   多次出现同一类一般不符合项而造成运维服务管理体系失效的;  对以前提出的不符合项采取纠正措施无效的</w:t>
      </w:r>
      <w:r>
        <w:rPr>
          <w:rFonts w:hint="eastAsia"/>
          <w:lang w:eastAsia="zh-CN"/>
        </w:rPr>
        <w:t>；</w:t>
      </w:r>
      <w:r>
        <w:t>以上违反任一条均判定为严重不符合项。</w:t>
      </w:r>
    </w:p>
    <w:p w14:paraId="07D98EB9">
      <w:pPr>
        <w:pStyle w:val="39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leftChars="0" w:hanging="425" w:firstLineChars="0"/>
        <w:textAlignment w:val="baseline"/>
      </w:pPr>
      <w:r>
        <w:t>一般不符合项：</w:t>
      </w:r>
      <w:bookmarkStart w:id="27" w:name="_GoBack"/>
      <w:bookmarkEnd w:id="27"/>
      <w:r>
        <w:t>对偶尔人为造成的不符合项且易于纠正，不造成严重后果的，不造成质量管理体系失效的不符合项，判定为一般不符合项。</w:t>
      </w:r>
    </w:p>
    <w:p w14:paraId="46242D94">
      <w:pPr>
        <w:pStyle w:val="39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leftChars="0" w:hanging="425" w:firstLineChars="0"/>
        <w:textAlignment w:val="baseline"/>
      </w:pPr>
      <w:r>
        <w:t>观察项：对个别轻微不符合文件的规定要求，并可在当时完成纠正的，尚无确切证据说明其有不良发展趋势的问题，可视为观察项。观察项不视为不符合项，但应引起受审核部门的注意。</w:t>
      </w:r>
    </w:p>
    <w:p w14:paraId="7FA61BD9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0" w:name="_Toc32583"/>
      <w:r>
        <w:t>不符合项报告</w:t>
      </w:r>
      <w:bookmarkEnd w:id="20"/>
    </w:p>
    <w:p w14:paraId="4BF63B11">
      <w:pPr>
        <w:pStyle w:val="27"/>
        <w:bidi w:val="0"/>
      </w:pPr>
      <w:r>
        <w:t>审核完毕，审核组整理审核记录，并将审核结果在组织内沟通，取得一致意见，最后由审核组长决定是否作为不符合项提出并判定严重程度，由审核组成员填写《不符合项报告》。</w:t>
      </w:r>
    </w:p>
    <w:p w14:paraId="3EB58A15">
      <w:pPr>
        <w:pStyle w:val="27"/>
        <w:bidi w:val="0"/>
      </w:pPr>
      <w:r>
        <w:t>填写的不符合项报告有以下项要求：</w:t>
      </w:r>
    </w:p>
    <w:p w14:paraId="5337C990">
      <w:pPr>
        <w:pStyle w:val="39"/>
        <w:numPr>
          <w:ilvl w:val="0"/>
          <w:numId w:val="10"/>
        </w:numPr>
        <w:bidi w:val="0"/>
        <w:ind w:left="425" w:leftChars="0" w:hanging="425" w:firstLineChars="0"/>
      </w:pPr>
      <w:r>
        <w:t>填写的不符合事实陈述要全面、清楚、正确、精练地用文字表达出来。</w:t>
      </w:r>
    </w:p>
    <w:p w14:paraId="42596D06">
      <w:pPr>
        <w:pStyle w:val="39"/>
        <w:numPr>
          <w:ilvl w:val="0"/>
          <w:numId w:val="10"/>
        </w:numPr>
        <w:bidi w:val="0"/>
        <w:ind w:left="425" w:leftChars="0" w:hanging="425" w:firstLineChars="0"/>
      </w:pPr>
      <w:r>
        <w:t>写明判为不合格的理由，为什么判为不合格。</w:t>
      </w:r>
    </w:p>
    <w:p w14:paraId="5EFC949E">
      <w:pPr>
        <w:pStyle w:val="39"/>
        <w:numPr>
          <w:ilvl w:val="0"/>
          <w:numId w:val="10"/>
        </w:numPr>
        <w:bidi w:val="0"/>
        <w:ind w:left="425" w:leftChars="0" w:hanging="425" w:firstLineChars="0"/>
      </w:pPr>
      <w:r>
        <w:t>不符合标准或相关文件的哪一条要判断正确。</w:t>
      </w:r>
    </w:p>
    <w:p w14:paraId="565C2E00">
      <w:pPr>
        <w:pStyle w:val="39"/>
        <w:numPr>
          <w:ilvl w:val="0"/>
          <w:numId w:val="10"/>
        </w:numPr>
        <w:bidi w:val="0"/>
        <w:ind w:left="425" w:leftChars="0" w:hanging="425" w:firstLineChars="0"/>
      </w:pPr>
      <w:r>
        <w:t>不符合的类型和程度要在报告中表达清楚。</w:t>
      </w:r>
    </w:p>
    <w:p w14:paraId="3B3E5A5B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1" w:name="_Toc26312"/>
      <w:r>
        <w:t>审核报告</w:t>
      </w:r>
      <w:bookmarkEnd w:id="21"/>
    </w:p>
    <w:p w14:paraId="0BA618BF">
      <w:pPr>
        <w:pStyle w:val="27"/>
        <w:bidi w:val="0"/>
      </w:pPr>
      <w:r>
        <w:t>审核组长在审核结束后编写《内审报告》，审核组长对审核报告的准确性、客观性和完整性负责。审核报告应附有《不符合项报告》等必要的客观证据材料。</w:t>
      </w:r>
    </w:p>
    <w:p w14:paraId="411E4F9A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2" w:name="_Toc7399"/>
      <w:r>
        <w:t>总结会议</w:t>
      </w:r>
      <w:bookmarkEnd w:id="22"/>
    </w:p>
    <w:p w14:paraId="1E7D42DF">
      <w:pPr>
        <w:pStyle w:val="27"/>
        <w:bidi w:val="0"/>
      </w:pPr>
      <w:r>
        <w:t>审核结束，内审管理者代表、质量部和被审核部门负责人参加由审核组长组织召开的总结会议，审核组长宣读《内审报告》和《不符合项报告》，由副总经理及质量部经理提出要求。会议结束后，将《不符合项报告》发至相关部门。</w:t>
      </w:r>
    </w:p>
    <w:p w14:paraId="142BD784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3" w:name="_Toc24213"/>
      <w:r>
        <w:t>服务改进措施</w:t>
      </w:r>
      <w:bookmarkEnd w:id="23"/>
    </w:p>
    <w:p w14:paraId="5DA2FD26">
      <w:pPr>
        <w:pStyle w:val="27"/>
        <w:bidi w:val="0"/>
      </w:pPr>
      <w:r>
        <w:t>《不符合项报告》分别传递给被审核部门负责人，经签字确认后，要分析产生原因，提出改进措施计划，以及完成改进措施的时间，即开始按计划采取相应的改进措施。</w:t>
      </w:r>
    </w:p>
    <w:p w14:paraId="1D5AFF45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4" w:name="_Toc12187"/>
      <w:r>
        <w:t>跟踪验证</w:t>
      </w:r>
      <w:bookmarkEnd w:id="24"/>
    </w:p>
    <w:p w14:paraId="3CA07770">
      <w:pPr>
        <w:pStyle w:val="27"/>
        <w:bidi w:val="0"/>
      </w:pPr>
      <w:r>
        <w:t>审核组对被审核部门采取的改进措施进行跟踪、验证其实施结果，直到措施完全被落实。对验证无效的措施审核组有权责令其重新制定改进措施，审核组再次验证。</w:t>
      </w:r>
    </w:p>
    <w:p w14:paraId="0D08E775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5" w:name="_Toc29641"/>
      <w:r>
        <w:rPr>
          <w:rFonts w:hint="eastAsia"/>
          <w:lang w:val="en-US" w:eastAsia="zh-CN"/>
        </w:rPr>
        <w:t>流程衡量指标</w:t>
      </w:r>
      <w:bookmarkEnd w:id="25"/>
    </w:p>
    <w:tbl>
      <w:tblPr>
        <w:tblStyle w:val="24"/>
        <w:tblW w:w="8515" w:type="dxa"/>
        <w:tblInd w:w="13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7"/>
        <w:gridCol w:w="1337"/>
        <w:gridCol w:w="3545"/>
        <w:gridCol w:w="1453"/>
        <w:gridCol w:w="1453"/>
      </w:tblGrid>
      <w:tr w14:paraId="234982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3" w:hRule="atLeast"/>
        </w:trPr>
        <w:tc>
          <w:tcPr>
            <w:tcW w:w="7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C0C0C0"/>
          </w:tcPr>
          <w:p w14:paraId="656B455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195"/>
              <w:textAlignment w:val="baseline"/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序号</w:t>
            </w:r>
          </w:p>
        </w:tc>
        <w:tc>
          <w:tcPr>
            <w:tcW w:w="1337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C0C0C0"/>
          </w:tcPr>
          <w:p w14:paraId="1E53E57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195"/>
              <w:textAlignment w:val="baseline"/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衡量指标</w:t>
            </w:r>
          </w:p>
        </w:tc>
        <w:tc>
          <w:tcPr>
            <w:tcW w:w="3545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0C0C0"/>
          </w:tcPr>
          <w:p w14:paraId="02A9BD2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195"/>
              <w:textAlignment w:val="baseline"/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指标计算说明</w:t>
            </w:r>
          </w:p>
        </w:tc>
        <w:tc>
          <w:tcPr>
            <w:tcW w:w="1453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0C0C0"/>
          </w:tcPr>
          <w:p w14:paraId="40D32CD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195"/>
              <w:textAlignment w:val="baseline"/>
              <w:rPr>
                <w:rFonts w:hint="default" w:ascii="宋体" w:hAnsi="宋体" w:eastAsia="宋体" w:cs="宋体"/>
                <w:b/>
                <w:bCs/>
                <w:spacing w:val="-7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7"/>
                <w:sz w:val="24"/>
                <w:szCs w:val="24"/>
                <w:lang w:val="en-US" w:eastAsia="zh-CN"/>
              </w:rPr>
              <w:t>考核频次</w:t>
            </w:r>
          </w:p>
        </w:tc>
        <w:tc>
          <w:tcPr>
            <w:tcW w:w="1453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0C0C0"/>
          </w:tcPr>
          <w:p w14:paraId="5A05C97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195"/>
              <w:textAlignment w:val="baseline"/>
              <w:rPr>
                <w:rFonts w:hint="default" w:ascii="宋体" w:hAnsi="宋体" w:eastAsia="宋体" w:cs="宋体"/>
                <w:b/>
                <w:bCs/>
                <w:spacing w:val="-7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pacing w:val="-7"/>
                <w:sz w:val="24"/>
                <w:szCs w:val="24"/>
                <w:lang w:val="en-US" w:eastAsia="zh-CN"/>
              </w:rPr>
              <w:t>目标值</w:t>
            </w:r>
          </w:p>
        </w:tc>
      </w:tr>
      <w:tr w14:paraId="555598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727" w:type="dxa"/>
            <w:tcBorders>
              <w:top w:val="single" w:color="000000" w:sz="6" w:space="0"/>
              <w:left w:val="single" w:color="000000" w:sz="6" w:space="0"/>
            </w:tcBorders>
          </w:tcPr>
          <w:p w14:paraId="7189964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4" w:line="219" w:lineRule="auto"/>
              <w:ind w:left="123"/>
              <w:textAlignment w:val="baseline"/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337" w:type="dxa"/>
            <w:tcBorders>
              <w:top w:val="single" w:color="000000" w:sz="6" w:space="0"/>
            </w:tcBorders>
          </w:tcPr>
          <w:p w14:paraId="16295B8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4" w:line="219" w:lineRule="auto"/>
              <w:ind w:left="123"/>
              <w:textAlignment w:val="baseline"/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次数</w:t>
            </w:r>
          </w:p>
        </w:tc>
        <w:tc>
          <w:tcPr>
            <w:tcW w:w="3545" w:type="dxa"/>
            <w:tcBorders>
              <w:top w:val="single" w:color="000000" w:sz="6" w:space="0"/>
              <w:right w:val="single" w:color="000000" w:sz="6" w:space="0"/>
            </w:tcBorders>
          </w:tcPr>
          <w:p w14:paraId="4129B6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4" w:line="219" w:lineRule="auto"/>
              <w:ind w:left="123"/>
              <w:textAlignment w:val="baseline"/>
              <w:rPr>
                <w:rFonts w:hint="default" w:ascii="宋体" w:hAnsi="宋体" w:eastAsia="宋体" w:cs="宋体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数量：内部评审的次数</w:t>
            </w:r>
          </w:p>
        </w:tc>
        <w:tc>
          <w:tcPr>
            <w:tcW w:w="1453" w:type="dxa"/>
            <w:tcBorders>
              <w:top w:val="single" w:color="000000" w:sz="6" w:space="0"/>
              <w:right w:val="single" w:color="000000" w:sz="6" w:space="0"/>
            </w:tcBorders>
          </w:tcPr>
          <w:p w14:paraId="303BFB6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4" w:line="219" w:lineRule="auto"/>
              <w:ind w:left="123"/>
              <w:textAlignment w:val="baseline"/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按年</w:t>
            </w:r>
          </w:p>
        </w:tc>
        <w:tc>
          <w:tcPr>
            <w:tcW w:w="1453" w:type="dxa"/>
            <w:tcBorders>
              <w:top w:val="single" w:color="000000" w:sz="6" w:space="0"/>
              <w:right w:val="single" w:color="000000" w:sz="6" w:space="0"/>
            </w:tcBorders>
          </w:tcPr>
          <w:p w14:paraId="0EF0CDF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4" w:line="219" w:lineRule="auto"/>
              <w:ind w:left="123"/>
              <w:textAlignment w:val="baseline"/>
              <w:rPr>
                <w:rFonts w:hint="default" w:ascii="宋体" w:hAnsi="宋体" w:eastAsia="宋体" w:cs="宋体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pacing w:val="-2"/>
                <w:sz w:val="24"/>
                <w:szCs w:val="24"/>
                <w:lang w:val="en-US" w:eastAsia="zh-CN"/>
              </w:rPr>
              <w:t>≥1次</w:t>
            </w:r>
          </w:p>
        </w:tc>
      </w:tr>
    </w:tbl>
    <w:p w14:paraId="38FE7565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6" w:name="_Toc21805"/>
      <w:r>
        <w:t>内审记录</w:t>
      </w:r>
      <w:bookmarkEnd w:id="26"/>
    </w:p>
    <w:p w14:paraId="388F8866">
      <w:pPr>
        <w:pStyle w:val="27"/>
        <w:bidi w:val="0"/>
      </w:pPr>
      <w:r>
        <w:t>质量部负责保存内审的档案，包括：</w:t>
      </w:r>
    </w:p>
    <w:p w14:paraId="0B59CAF2">
      <w:pPr>
        <w:pStyle w:val="27"/>
        <w:numPr>
          <w:ilvl w:val="0"/>
          <w:numId w:val="11"/>
        </w:numPr>
        <w:bidi w:val="0"/>
        <w:ind w:left="425" w:leftChars="0" w:hanging="425" w:firstLineChars="0"/>
      </w:pPr>
      <w:r>
        <w:t>《内审计划》</w:t>
      </w:r>
    </w:p>
    <w:p w14:paraId="2244A2EF">
      <w:pPr>
        <w:pStyle w:val="27"/>
        <w:numPr>
          <w:ilvl w:val="0"/>
          <w:numId w:val="11"/>
        </w:numPr>
        <w:bidi w:val="0"/>
        <w:ind w:left="425" w:leftChars="0" w:hanging="425" w:firstLineChars="0"/>
      </w:pPr>
      <w:r>
        <w:t>《内审检查表》</w:t>
      </w:r>
    </w:p>
    <w:p w14:paraId="14235B10">
      <w:pPr>
        <w:pStyle w:val="27"/>
        <w:numPr>
          <w:ilvl w:val="0"/>
          <w:numId w:val="11"/>
        </w:numPr>
        <w:bidi w:val="0"/>
        <w:ind w:left="425" w:leftChars="0" w:hanging="425" w:firstLineChars="0"/>
      </w:pPr>
      <w:r>
        <w:t>《内审报告》</w:t>
      </w:r>
    </w:p>
    <w:p w14:paraId="2DBE6E43">
      <w:pPr>
        <w:pStyle w:val="27"/>
        <w:numPr>
          <w:ilvl w:val="0"/>
          <w:numId w:val="11"/>
        </w:numPr>
        <w:bidi w:val="0"/>
        <w:ind w:left="425" w:leftChars="0" w:hanging="425" w:firstLineChars="0"/>
      </w:pPr>
      <w:r>
        <w:t>《不符合项报告》</w:t>
      </w:r>
    </w:p>
    <w:sectPr>
      <w:headerReference r:id="rId7" w:type="default"/>
      <w:footerReference r:id="rId8" w:type="default"/>
      <w:pgSz w:w="11907" w:h="16840"/>
      <w:pgMar w:top="1162" w:right="1768" w:bottom="1359" w:left="1768" w:header="830" w:footer="1199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90841F">
    <w:pPr>
      <w:spacing w:line="174" w:lineRule="auto"/>
      <w:ind w:left="4161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82CF2B">
    <w:pPr>
      <w:spacing w:line="174" w:lineRule="auto"/>
      <w:ind w:left="4148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B5FF4C">
    <w:pPr>
      <w:spacing w:before="47" w:line="220" w:lineRule="auto"/>
      <w:ind w:right="25"/>
      <w:jc w:val="right"/>
      <w:rPr>
        <w:rFonts w:ascii="宋体" w:hAnsi="宋体" w:eastAsia="宋体" w:cs="宋体"/>
        <w:sz w:val="18"/>
        <w:szCs w:val="18"/>
      </w:rPr>
    </w:pPr>
    <w:r>
      <w:pict>
        <v:shape id="_x0000_s2049" o:spid="_x0000_s2049" style="position:absolute;left:0pt;margin-left:88.4pt;margin-top:55.2pt;height:0.5pt;width:418.55pt;mso-position-horizontal-relative:page;mso-position-vertical-relative:page;z-index:251659264;mso-width-relative:page;mso-height-relative:page;" filled="f" stroked="t" coordsize="8370,10" o:allowincell="f" path="m0,5l8370,5e">
          <v:fill on="f" focussize="0,0"/>
          <v:stroke joinstyle="miter"/>
          <v:imagedata o:title=""/>
          <o:lock v:ext="edit"/>
        </v:shape>
      </w:pict>
    </w:r>
    <w:r>
      <w:rPr>
        <w:rFonts w:ascii="宋体" w:hAnsi="宋体" w:eastAsia="宋体" w:cs="宋体"/>
        <w:spacing w:val="-4"/>
        <w:sz w:val="18"/>
        <w:szCs w:val="18"/>
      </w:rPr>
      <w:t>内部审核管理制度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242E59">
    <w:pPr>
      <w:spacing w:before="47" w:line="220" w:lineRule="auto"/>
      <w:ind w:right="25"/>
      <w:jc w:val="right"/>
      <w:rPr>
        <w:rFonts w:ascii="宋体" w:hAnsi="宋体" w:eastAsia="宋体" w:cs="宋体"/>
        <w:sz w:val="18"/>
        <w:szCs w:val="18"/>
      </w:rPr>
    </w:pPr>
    <w:r>
      <w:pict>
        <v:shape id="_x0000_s2050" o:spid="_x0000_s2050" style="position:absolute;left:0pt;margin-left:88.4pt;margin-top:55.2pt;height:0.5pt;width:418.55pt;mso-position-horizontal-relative:page;mso-position-vertical-relative:page;z-index:251660288;mso-width-relative:page;mso-height-relative:page;" filled="f" stroked="t" coordsize="8370,10" o:allowincell="f" path="m0,5l8370,5e">
          <v:fill on="f" focussize="0,0"/>
          <v:stroke joinstyle="miter"/>
          <v:imagedata o:title=""/>
          <o:lock v:ext="edit"/>
        </v:shape>
      </w:pict>
    </w:r>
    <w:r>
      <w:rPr>
        <w:rFonts w:ascii="宋体" w:hAnsi="宋体" w:eastAsia="宋体" w:cs="宋体"/>
        <w:spacing w:val="-4"/>
        <w:sz w:val="18"/>
        <w:szCs w:val="18"/>
      </w:rPr>
      <w:t>内部审核管理制度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6E13A4"/>
    <w:multiLevelType w:val="singleLevel"/>
    <w:tmpl w:val="8D6E13A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AC3B8FDD"/>
    <w:multiLevelType w:val="singleLevel"/>
    <w:tmpl w:val="AC3B8FD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BE79AE4C"/>
    <w:multiLevelType w:val="singleLevel"/>
    <w:tmpl w:val="BE79AE4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BE8BAB79"/>
    <w:multiLevelType w:val="singleLevel"/>
    <w:tmpl w:val="BE8BAB7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CF48E4F4"/>
    <w:multiLevelType w:val="singleLevel"/>
    <w:tmpl w:val="CF48E4F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D25C43C5"/>
    <w:multiLevelType w:val="singleLevel"/>
    <w:tmpl w:val="D25C43C5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7">
    <w:nsid w:val="DB1CC0C6"/>
    <w:multiLevelType w:val="singleLevel"/>
    <w:tmpl w:val="DB1CC0C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11DB900F"/>
    <w:multiLevelType w:val="singleLevel"/>
    <w:tmpl w:val="11DB900F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9">
    <w:nsid w:val="4972AE3A"/>
    <w:multiLevelType w:val="singleLevel"/>
    <w:tmpl w:val="4972AE3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7EAC7345"/>
    <w:multiLevelType w:val="singleLevel"/>
    <w:tmpl w:val="7EAC734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9"/>
  </w:num>
  <w:num w:numId="5">
    <w:abstractNumId w:val="7"/>
  </w:num>
  <w:num w:numId="6">
    <w:abstractNumId w:val="0"/>
  </w:num>
  <w:num w:numId="7">
    <w:abstractNumId w:val="10"/>
  </w:num>
  <w:num w:numId="8">
    <w:abstractNumId w:val="6"/>
  </w:num>
  <w:num w:numId="9">
    <w:abstractNumId w:val="8"/>
  </w:num>
  <w:num w:numId="10">
    <w:abstractNumId w:val="4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NotTrackMoves/>
  <w:documentProtection w:enforcement="0"/>
  <w:defaultTabStop w:val="72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A1E05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标题1"/>
    <w:basedOn w:val="2"/>
    <w:next w:val="27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7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28">
    <w:name w:val="柴_标题2"/>
    <w:basedOn w:val="3"/>
    <w:next w:val="2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29">
    <w:name w:val="柴_标题3"/>
    <w:basedOn w:val="4"/>
    <w:next w:val="27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0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1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2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6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7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2049"/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2289</Words>
  <Characters>2425</Characters>
  <Lines>0</Lines>
  <Paragraphs>0</Paragraphs>
  <TotalTime>2</TotalTime>
  <ScaleCrop>false</ScaleCrop>
  <LinksUpToDate>false</LinksUpToDate>
  <CharactersWithSpaces>2547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2025-08-18T17:51:00Z</dcterms:created>
  <dc:creator>Administrator</dc:creator>
  <cp:lastModifiedBy>郝宇</cp:lastModifiedBy>
  <dcterms:modified xsi:type="dcterms:W3CDTF">2026-01-30T13:54:29Z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2025-08-20T23:31:54Z</vt:filetime>
  </property>
  <property fmtid="{D5CDD505-2E9C-101B-9397-08002B2CF9AE}" pid="3" name="CRO">
    <vt:lpwstr>wqlLaW5nc29mdCBQREYgdG8gV1BTIDExNQ</vt:lpwstr>
  </property>
  <property fmtid="{D5CDD505-2E9C-101B-9397-08002B2CF9AE}" pid="4" name="ICV">
    <vt:lpwstr>008734E4083E4562837FA60E5DA0888E_12</vt:lpwstr>
  </property>
  <property fmtid="{D5CDD505-2E9C-101B-9397-08002B2CF9AE}" pid="5" name="KSOProductBuildVer">
    <vt:lpwstr>2052-12.1.0.24657</vt:lpwstr>
  </property>
  <property fmtid="{D5CDD505-2E9C-101B-9397-08002B2CF9AE}" pid="6" name="KSOTemplateDocerSaveRecord">
    <vt:lpwstr>eyJoZGlkIjoiZWI4NmUzMGY2ODA3MDc4ZTFlMjZjZTAyMjM0NmVmODgiLCJ1c2VySWQiOiIxMDc1MzgyOSJ9</vt:lpwstr>
  </property>
</Properties>
</file>