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982A2E">
      <w:pPr>
        <w:pStyle w:val="32"/>
        <w:bidi w:val="0"/>
      </w:pPr>
    </w:p>
    <w:p w14:paraId="03BF0293">
      <w:pPr>
        <w:pStyle w:val="32"/>
        <w:bidi w:val="0"/>
      </w:pPr>
      <w:bookmarkStart w:id="0" w:name="_Toc24547"/>
      <w:r>
        <w:t>运维服务质量管理制度</w:t>
      </w:r>
      <w:bookmarkEnd w:id="0"/>
    </w:p>
    <w:p w14:paraId="43891730">
      <w:pPr>
        <w:pStyle w:val="33"/>
        <w:bidi w:val="0"/>
      </w:pPr>
      <w:bookmarkStart w:id="1" w:name="_Toc13080"/>
      <w:r>
        <w:t>中达丰集团有限公司</w:t>
      </w:r>
      <w:bookmarkEnd w:id="1"/>
    </w:p>
    <w:p w14:paraId="6CED4A26">
      <w:pPr>
        <w:spacing w:before="224" w:line="220" w:lineRule="auto"/>
        <w:ind w:left="2925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11"/>
          <w:sz w:val="36"/>
          <w:szCs w:val="36"/>
        </w:rPr>
        <w:t>2025年4月4日</w:t>
      </w:r>
    </w:p>
    <w:p w14:paraId="7A34DEFA">
      <w:pPr>
        <w:spacing w:line="220" w:lineRule="auto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7D39C7B7">
      <w:pPr>
        <w:spacing w:before="91" w:line="220" w:lineRule="auto"/>
        <w:ind w:left="3620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26808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24"/>
        <w:tblW w:w="8646" w:type="dxa"/>
        <w:tblInd w:w="2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8"/>
        <w:gridCol w:w="2123"/>
        <w:gridCol w:w="1699"/>
        <w:gridCol w:w="1562"/>
      </w:tblGrid>
      <w:tr w14:paraId="2B70D7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7C460AC1">
            <w:pPr>
              <w:spacing w:before="125" w:line="220" w:lineRule="auto"/>
              <w:ind w:left="1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文档名称编号</w:t>
            </w:r>
          </w:p>
        </w:tc>
        <w:tc>
          <w:tcPr>
            <w:tcW w:w="6942" w:type="dxa"/>
            <w:gridSpan w:val="4"/>
          </w:tcPr>
          <w:p w14:paraId="25579935">
            <w:pPr>
              <w:spacing w:before="125" w:line="218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运维服务质量管理制度（FWFWZLGL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-ITSS-ZJBG）</w:t>
            </w:r>
          </w:p>
        </w:tc>
      </w:tr>
      <w:tr w14:paraId="340F0E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4BC10261">
            <w:pPr>
              <w:spacing w:before="122" w:line="220" w:lineRule="auto"/>
              <w:ind w:left="3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编制单位</w:t>
            </w:r>
          </w:p>
        </w:tc>
        <w:tc>
          <w:tcPr>
            <w:tcW w:w="6942" w:type="dxa"/>
            <w:gridSpan w:val="4"/>
          </w:tcPr>
          <w:p w14:paraId="2ABB060A">
            <w:pPr>
              <w:spacing w:before="122" w:line="219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中达丰集团有限公司</w:t>
            </w:r>
          </w:p>
        </w:tc>
      </w:tr>
      <w:tr w14:paraId="5FC382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151375B2">
            <w:pPr>
              <w:spacing w:before="124" w:line="220" w:lineRule="auto"/>
              <w:ind w:left="3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文档密级</w:t>
            </w:r>
          </w:p>
        </w:tc>
        <w:tc>
          <w:tcPr>
            <w:tcW w:w="6942" w:type="dxa"/>
            <w:gridSpan w:val="4"/>
          </w:tcPr>
          <w:p w14:paraId="4DA81F88">
            <w:pPr>
              <w:spacing w:before="124" w:line="220" w:lineRule="auto"/>
              <w:ind w:left="1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秘密</w:t>
            </w:r>
          </w:p>
        </w:tc>
      </w:tr>
      <w:tr w14:paraId="4DF321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124E9A88">
            <w:pPr>
              <w:spacing w:before="125" w:line="219" w:lineRule="auto"/>
              <w:ind w:left="3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文档版本</w:t>
            </w:r>
          </w:p>
        </w:tc>
        <w:tc>
          <w:tcPr>
            <w:tcW w:w="1558" w:type="dxa"/>
          </w:tcPr>
          <w:p w14:paraId="6E17683C">
            <w:pPr>
              <w:spacing w:before="125" w:line="219" w:lineRule="auto"/>
              <w:ind w:left="3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版本日期</w:t>
            </w:r>
          </w:p>
        </w:tc>
        <w:tc>
          <w:tcPr>
            <w:tcW w:w="2123" w:type="dxa"/>
          </w:tcPr>
          <w:p w14:paraId="3402EF6E">
            <w:pPr>
              <w:spacing w:before="125" w:line="219" w:lineRule="auto"/>
              <w:ind w:left="5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版本说明</w:t>
            </w:r>
          </w:p>
        </w:tc>
        <w:tc>
          <w:tcPr>
            <w:tcW w:w="1699" w:type="dxa"/>
          </w:tcPr>
          <w:p w14:paraId="784DD226">
            <w:pPr>
              <w:spacing w:before="126" w:line="220" w:lineRule="auto"/>
              <w:ind w:left="5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作</w:t>
            </w:r>
            <w:r>
              <w:rPr>
                <w:rFonts w:ascii="宋体" w:hAnsi="宋体" w:eastAsia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者</w:t>
            </w:r>
          </w:p>
        </w:tc>
        <w:tc>
          <w:tcPr>
            <w:tcW w:w="1562" w:type="dxa"/>
          </w:tcPr>
          <w:p w14:paraId="2902C796">
            <w:pPr>
              <w:spacing w:before="126" w:line="220" w:lineRule="auto"/>
              <w:ind w:left="56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审核</w:t>
            </w:r>
          </w:p>
        </w:tc>
      </w:tr>
      <w:tr w14:paraId="1C1B6A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76D4DEEB">
            <w:pPr>
              <w:spacing w:before="104" w:line="239" w:lineRule="auto"/>
              <w:ind w:left="63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558" w:type="dxa"/>
          </w:tcPr>
          <w:p w14:paraId="3EC509DA">
            <w:pPr>
              <w:spacing w:before="104"/>
              <w:ind w:left="36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123" w:type="dxa"/>
          </w:tcPr>
          <w:p w14:paraId="086DB0EC">
            <w:pPr>
              <w:spacing w:before="74" w:line="219" w:lineRule="auto"/>
              <w:ind w:left="64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699" w:type="dxa"/>
          </w:tcPr>
          <w:p w14:paraId="0C6957C0">
            <w:pPr>
              <w:spacing w:before="74" w:line="220" w:lineRule="auto"/>
              <w:ind w:left="542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李平</w:t>
            </w:r>
          </w:p>
        </w:tc>
        <w:tc>
          <w:tcPr>
            <w:tcW w:w="1562" w:type="dxa"/>
          </w:tcPr>
          <w:p w14:paraId="33941DAC">
            <w:pPr>
              <w:spacing w:before="75" w:line="220" w:lineRule="auto"/>
              <w:ind w:left="482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吴向阳</w:t>
            </w:r>
          </w:p>
        </w:tc>
      </w:tr>
      <w:tr w14:paraId="768BAA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6C8AA584">
            <w:pPr>
              <w:pStyle w:val="25"/>
            </w:pPr>
          </w:p>
        </w:tc>
        <w:tc>
          <w:tcPr>
            <w:tcW w:w="1558" w:type="dxa"/>
          </w:tcPr>
          <w:p w14:paraId="3A1C1CCB">
            <w:pPr>
              <w:pStyle w:val="25"/>
            </w:pPr>
          </w:p>
        </w:tc>
        <w:tc>
          <w:tcPr>
            <w:tcW w:w="2123" w:type="dxa"/>
          </w:tcPr>
          <w:p w14:paraId="5A98124B">
            <w:pPr>
              <w:pStyle w:val="25"/>
            </w:pPr>
          </w:p>
        </w:tc>
        <w:tc>
          <w:tcPr>
            <w:tcW w:w="1699" w:type="dxa"/>
          </w:tcPr>
          <w:p w14:paraId="06436722">
            <w:pPr>
              <w:pStyle w:val="25"/>
            </w:pPr>
          </w:p>
        </w:tc>
        <w:tc>
          <w:tcPr>
            <w:tcW w:w="1562" w:type="dxa"/>
          </w:tcPr>
          <w:p w14:paraId="3FA9E85B">
            <w:pPr>
              <w:pStyle w:val="25"/>
            </w:pPr>
          </w:p>
        </w:tc>
      </w:tr>
      <w:tr w14:paraId="41DE78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5C621C77">
            <w:pPr>
              <w:pStyle w:val="25"/>
            </w:pPr>
          </w:p>
        </w:tc>
        <w:tc>
          <w:tcPr>
            <w:tcW w:w="1558" w:type="dxa"/>
          </w:tcPr>
          <w:p w14:paraId="7B2C7E29">
            <w:pPr>
              <w:pStyle w:val="25"/>
            </w:pPr>
          </w:p>
        </w:tc>
        <w:tc>
          <w:tcPr>
            <w:tcW w:w="2123" w:type="dxa"/>
          </w:tcPr>
          <w:p w14:paraId="160E8E84">
            <w:pPr>
              <w:pStyle w:val="25"/>
            </w:pPr>
          </w:p>
        </w:tc>
        <w:tc>
          <w:tcPr>
            <w:tcW w:w="1699" w:type="dxa"/>
          </w:tcPr>
          <w:p w14:paraId="787EFD41">
            <w:pPr>
              <w:pStyle w:val="25"/>
            </w:pPr>
          </w:p>
        </w:tc>
        <w:tc>
          <w:tcPr>
            <w:tcW w:w="1562" w:type="dxa"/>
          </w:tcPr>
          <w:p w14:paraId="3DC15AEB">
            <w:pPr>
              <w:pStyle w:val="25"/>
            </w:pPr>
          </w:p>
        </w:tc>
      </w:tr>
      <w:tr w14:paraId="7EA9CD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704" w:type="dxa"/>
          </w:tcPr>
          <w:p w14:paraId="5693E808">
            <w:pPr>
              <w:pStyle w:val="25"/>
            </w:pPr>
          </w:p>
        </w:tc>
        <w:tc>
          <w:tcPr>
            <w:tcW w:w="1558" w:type="dxa"/>
          </w:tcPr>
          <w:p w14:paraId="76A724B5">
            <w:pPr>
              <w:pStyle w:val="25"/>
            </w:pPr>
          </w:p>
        </w:tc>
        <w:tc>
          <w:tcPr>
            <w:tcW w:w="2123" w:type="dxa"/>
          </w:tcPr>
          <w:p w14:paraId="6C02406A">
            <w:pPr>
              <w:pStyle w:val="25"/>
            </w:pPr>
          </w:p>
        </w:tc>
        <w:tc>
          <w:tcPr>
            <w:tcW w:w="1699" w:type="dxa"/>
          </w:tcPr>
          <w:p w14:paraId="1BF81BB5">
            <w:pPr>
              <w:pStyle w:val="25"/>
            </w:pPr>
          </w:p>
        </w:tc>
        <w:tc>
          <w:tcPr>
            <w:tcW w:w="1562" w:type="dxa"/>
          </w:tcPr>
          <w:p w14:paraId="42C151FB">
            <w:pPr>
              <w:pStyle w:val="25"/>
            </w:pPr>
          </w:p>
        </w:tc>
      </w:tr>
      <w:tr w14:paraId="06DC9C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6E956A89">
            <w:pPr>
              <w:pStyle w:val="25"/>
            </w:pPr>
          </w:p>
        </w:tc>
        <w:tc>
          <w:tcPr>
            <w:tcW w:w="1558" w:type="dxa"/>
          </w:tcPr>
          <w:p w14:paraId="4EE58C68">
            <w:pPr>
              <w:pStyle w:val="25"/>
            </w:pPr>
          </w:p>
        </w:tc>
        <w:tc>
          <w:tcPr>
            <w:tcW w:w="2123" w:type="dxa"/>
          </w:tcPr>
          <w:p w14:paraId="388DEC14">
            <w:pPr>
              <w:pStyle w:val="25"/>
            </w:pPr>
          </w:p>
        </w:tc>
        <w:tc>
          <w:tcPr>
            <w:tcW w:w="1699" w:type="dxa"/>
          </w:tcPr>
          <w:p w14:paraId="0660E9EC">
            <w:pPr>
              <w:pStyle w:val="25"/>
            </w:pPr>
          </w:p>
        </w:tc>
        <w:tc>
          <w:tcPr>
            <w:tcW w:w="1562" w:type="dxa"/>
          </w:tcPr>
          <w:p w14:paraId="31C28C85">
            <w:pPr>
              <w:pStyle w:val="25"/>
            </w:pPr>
          </w:p>
        </w:tc>
      </w:tr>
    </w:tbl>
    <w:p w14:paraId="33626584">
      <w:pPr>
        <w:pStyle w:val="12"/>
      </w:pPr>
    </w:p>
    <w:p w14:paraId="690238FE">
      <w:pPr>
        <w:sectPr>
          <w:pgSz w:w="11906" w:h="16839"/>
          <w:pgMar w:top="1431" w:right="1440" w:bottom="0" w:left="1785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7262"/>
        <w:docPartObj>
          <w:docPartGallery w:val="Table of Contents"/>
          <w:docPartUnique/>
        </w:docPartObj>
      </w:sdtPr>
      <w:sdtEndPr>
        <w:rPr>
          <w:rFonts w:ascii="Calibri" w:hAnsi="Calibri" w:eastAsia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6AA451C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C3F9F7C">
          <w:pPr>
            <w:pStyle w:val="16"/>
            <w:tabs>
              <w:tab w:val="right" w:leader="dot" w:pos="8492"/>
            </w:tabs>
          </w:pPr>
          <w:bookmarkStart w:id="29" w:name="_GoBack"/>
          <w:bookmarkEnd w:id="29"/>
          <w:r>
            <w:rPr>
              <w:rFonts w:ascii="Calibri" w:hAnsi="Calibri" w:eastAsia="Calibri" w:cs="Calibri"/>
              <w:sz w:val="24"/>
              <w:szCs w:val="24"/>
            </w:rPr>
            <w:fldChar w:fldCharType="begin"/>
          </w:r>
          <w:r>
            <w:rPr>
              <w:rFonts w:ascii="Calibri" w:hAnsi="Calibri" w:eastAsia="Calibri" w:cs="Calibri"/>
              <w:sz w:val="24"/>
              <w:szCs w:val="24"/>
            </w:rPr>
            <w:instrText xml:space="preserve">TOC \o "1-3" \h \u </w:instrText>
          </w:r>
          <w:r>
            <w:rPr>
              <w:rFonts w:ascii="Calibri" w:hAnsi="Calibri" w:eastAsia="Calibri" w:cs="Calibri"/>
              <w:sz w:val="24"/>
              <w:szCs w:val="24"/>
            </w:rPr>
            <w:fldChar w:fldCharType="separate"/>
          </w: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_Toc24547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t>运维服务质量管理制度</w:t>
          </w:r>
          <w:r>
            <w:tab/>
          </w:r>
          <w:r>
            <w:fldChar w:fldCharType="begin"/>
          </w:r>
          <w:r>
            <w:instrText xml:space="preserve"> PAGEREF _Toc24547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30C1F37C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_Toc13080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_Toc13080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9B31E88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_Toc26808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_Toc26808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ACF4F1A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_Toc14161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_Toc14161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31F783A8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_Toc17807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_Toc17807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08D003ED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_Toc4967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_Toc4967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28107FFB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_Toc19481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_Toc19481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3E440A3C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_Toc22407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_Toc22407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359FB92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_Toc32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2"/>
              <w:szCs w:val="24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_Toc32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7F4D6E2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_Toc9050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部门岗位</w:t>
          </w:r>
          <w:r>
            <w:tab/>
          </w:r>
          <w:r>
            <w:fldChar w:fldCharType="begin"/>
          </w:r>
          <w:r>
            <w:instrText xml:space="preserve"> PAGEREF _Toc9050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3038BE0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_Toc10638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公司高层</w:t>
          </w:r>
          <w:r>
            <w:tab/>
          </w:r>
          <w:r>
            <w:fldChar w:fldCharType="begin"/>
          </w:r>
          <w:r>
            <w:instrText xml:space="preserve"> PAGEREF _Toc10638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2114DAA3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_Toc12926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质量部</w:t>
          </w:r>
          <w:r>
            <w:tab/>
          </w:r>
          <w:r>
            <w:fldChar w:fldCharType="begin"/>
          </w:r>
          <w:r>
            <w:instrText xml:space="preserve"> PAGEREF _Toc12926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329D4A0A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_Toc17272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运维部</w:t>
          </w:r>
          <w:r>
            <w:tab/>
          </w:r>
          <w:r>
            <w:fldChar w:fldCharType="begin"/>
          </w:r>
          <w:r>
            <w:instrText xml:space="preserve"> PAGEREF _Toc17272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6B5493D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_Toc20957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6.4. </w:t>
          </w:r>
          <w:r>
            <w:t>服务台</w:t>
          </w:r>
          <w:r>
            <w:tab/>
          </w:r>
          <w:r>
            <w:fldChar w:fldCharType="begin"/>
          </w:r>
          <w:r>
            <w:instrText xml:space="preserve"> PAGEREF _Toc20957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3AF1F7C1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_Toc21668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6.5. </w:t>
          </w:r>
          <w:r>
            <w:t>运维服务人员</w:t>
          </w:r>
          <w:r>
            <w:tab/>
          </w:r>
          <w:r>
            <w:fldChar w:fldCharType="begin"/>
          </w:r>
          <w:r>
            <w:instrText xml:space="preserve"> PAGEREF _Toc21668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4C347270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_Toc11424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质量管理内容</w:t>
          </w:r>
          <w:r>
            <w:tab/>
          </w:r>
          <w:r>
            <w:fldChar w:fldCharType="begin"/>
          </w:r>
          <w:r>
            <w:instrText xml:space="preserve"> PAGEREF _Toc11424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381ECBC6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_Toc1320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7.1. </w:t>
          </w:r>
          <w:r>
            <w:t>高层的质量管理活动</w:t>
          </w:r>
          <w:r>
            <w:tab/>
          </w:r>
          <w:r>
            <w:fldChar w:fldCharType="begin"/>
          </w:r>
          <w:r>
            <w:instrText xml:space="preserve"> PAGEREF _Toc1320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0A2C6D1A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_Toc5582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7.2. </w:t>
          </w:r>
          <w:r>
            <w:t>质量部的质量管理活动</w:t>
          </w:r>
          <w:r>
            <w:tab/>
          </w:r>
          <w:r>
            <w:fldChar w:fldCharType="begin"/>
          </w:r>
          <w:r>
            <w:instrText xml:space="preserve"> PAGEREF _Toc5582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D9EDD96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_Toc8720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7.3. </w:t>
          </w:r>
          <w:r>
            <w:t>运维部的质量管理活动</w:t>
          </w:r>
          <w:r>
            <w:tab/>
          </w:r>
          <w:r>
            <w:fldChar w:fldCharType="begin"/>
          </w:r>
          <w:r>
            <w:instrText xml:space="preserve"> PAGEREF _Toc8720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E3F630C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_Toc23515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运维服务质量管理要求</w:t>
          </w:r>
          <w:r>
            <w:tab/>
          </w:r>
          <w:r>
            <w:fldChar w:fldCharType="begin"/>
          </w:r>
          <w:r>
            <w:instrText xml:space="preserve"> PAGEREF _Toc23515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7C2402E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_Toc1843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8.1. </w:t>
          </w:r>
          <w:r>
            <w:t>客户满意度调查要求</w:t>
          </w:r>
          <w:r>
            <w:tab/>
          </w:r>
          <w:r>
            <w:fldChar w:fldCharType="begin"/>
          </w:r>
          <w:r>
            <w:instrText xml:space="preserve"> PAGEREF _Toc1843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33A9E02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_Toc23985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8.2. </w:t>
          </w:r>
          <w:r>
            <w:t>项目的质量管理要求</w:t>
          </w:r>
          <w:r>
            <w:tab/>
          </w:r>
          <w:r>
            <w:fldChar w:fldCharType="begin"/>
          </w:r>
          <w:r>
            <w:instrText xml:space="preserve"> PAGEREF _Toc23985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C1A1C8B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_Toc26774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8.3. </w:t>
          </w:r>
          <w:r>
            <w:t>体系的质量管理要求</w:t>
          </w:r>
          <w:r>
            <w:tab/>
          </w:r>
          <w:r>
            <w:fldChar w:fldCharType="begin"/>
          </w:r>
          <w:r>
            <w:instrText xml:space="preserve"> PAGEREF _Toc26774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A15F339">
          <w:pPr>
            <w:pStyle w:val="13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_Toc5368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8.3.1. </w:t>
          </w:r>
          <w:r>
            <w:t>内审要求</w:t>
          </w:r>
          <w:r>
            <w:tab/>
          </w:r>
          <w:r>
            <w:fldChar w:fldCharType="begin"/>
          </w:r>
          <w:r>
            <w:instrText xml:space="preserve"> PAGEREF _Toc5368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0B9C16CC">
          <w:pPr>
            <w:pStyle w:val="13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_Toc21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8.3.2. </w:t>
          </w:r>
          <w:r>
            <w:t>管理评审要求</w:t>
          </w:r>
          <w:r>
            <w:tab/>
          </w:r>
          <w:r>
            <w:fldChar w:fldCharType="begin"/>
          </w:r>
          <w:r>
            <w:instrText xml:space="preserve"> PAGEREF _Toc21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EF21F0C">
          <w:pPr>
            <w:spacing w:line="327" w:lineRule="exact"/>
            <w:rPr>
              <w:rFonts w:ascii="Calibri" w:hAnsi="Calibri" w:eastAsia="Calibri" w:cs="Calibri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Calibri" w:hAnsi="Calibri" w:eastAsia="Calibri" w:cs="Calibri"/>
              <w:szCs w:val="24"/>
            </w:rPr>
            <w:fldChar w:fldCharType="end"/>
          </w:r>
        </w:p>
      </w:sdtContent>
    </w:sdt>
    <w:p w14:paraId="12D463A8">
      <w:pPr>
        <w:spacing w:line="327" w:lineRule="exact"/>
        <w:rPr>
          <w:rFonts w:ascii="Calibri" w:hAnsi="Calibri" w:eastAsia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10" w:bottom="0" w:left="1704" w:header="0" w:footer="0" w:gutter="0"/>
          <w:cols w:space="720" w:num="1"/>
        </w:sectPr>
      </w:pPr>
    </w:p>
    <w:p w14:paraId="4EDDFA73">
      <w:pPr>
        <w:pStyle w:val="26"/>
        <w:bidi w:val="0"/>
      </w:pPr>
      <w:bookmarkStart w:id="3" w:name="_Toc14161"/>
      <w:r>
        <w:t>目的</w:t>
      </w:r>
      <w:bookmarkEnd w:id="3"/>
    </w:p>
    <w:p w14:paraId="19E1B252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jc w:val="both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为确保公司提供的运维服务满足客户所需的服务质量，寻找公司服务实施</w:t>
      </w:r>
      <w:r>
        <w:rPr>
          <w:rFonts w:ascii="宋体" w:hAnsi="宋体" w:eastAsia="宋体" w:cs="宋体"/>
          <w:sz w:val="24"/>
          <w:szCs w:val="24"/>
        </w:rPr>
        <w:t>过程中存在的问题和缺陷，为服务改进活动的有效</w:t>
      </w:r>
      <w:r>
        <w:rPr>
          <w:rFonts w:ascii="宋体" w:hAnsi="宋体" w:eastAsia="宋体" w:cs="宋体"/>
          <w:spacing w:val="-1"/>
          <w:sz w:val="24"/>
          <w:szCs w:val="24"/>
        </w:rPr>
        <w:t>实施提供目标和方向，保证</w:t>
      </w:r>
      <w:r>
        <w:rPr>
          <w:rFonts w:ascii="宋体" w:hAnsi="宋体" w:eastAsia="宋体" w:cs="宋体"/>
          <w:spacing w:val="-2"/>
          <w:sz w:val="24"/>
          <w:szCs w:val="24"/>
        </w:rPr>
        <w:t>组织的服务质量稳定可控并持续提升，特制订本制度。</w:t>
      </w:r>
    </w:p>
    <w:p w14:paraId="5B250F0F">
      <w:pPr>
        <w:pStyle w:val="26"/>
        <w:bidi w:val="0"/>
      </w:pPr>
      <w:bookmarkStart w:id="4" w:name="_Toc17807"/>
      <w:r>
        <w:t>适用范围</w:t>
      </w:r>
      <w:bookmarkEnd w:id="4"/>
    </w:p>
    <w:p w14:paraId="245B42A8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jc w:val="both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本程序适用于中达丰集团有限公司运维服务业务，用于服务实施全过程的检查与审计。</w:t>
      </w:r>
    </w:p>
    <w:p w14:paraId="6EC40CDC">
      <w:pPr>
        <w:pStyle w:val="26"/>
        <w:bidi w:val="0"/>
      </w:pPr>
      <w:bookmarkStart w:id="5" w:name="_Toc4967"/>
      <w:r>
        <w:t>引用文件</w:t>
      </w:r>
      <w:bookmarkEnd w:id="5"/>
    </w:p>
    <w:p w14:paraId="30A2804D">
      <w:pPr>
        <w:pStyle w:val="12"/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/>
          <w:spacing w:val="-1"/>
          <w:position w:val="1"/>
          <w:sz w:val="24"/>
          <w:szCs w:val="24"/>
        </w:rPr>
        <w:t>T/CESA 1299—2023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 xml:space="preserve">《信息技术服务 </w:t>
      </w:r>
      <w:r>
        <w:rPr>
          <w:rFonts w:ascii="宋体" w:hAnsi="宋体" w:eastAsia="宋体" w:cs="宋体"/>
          <w:spacing w:val="-2"/>
          <w:position w:val="1"/>
          <w:sz w:val="24"/>
          <w:szCs w:val="24"/>
        </w:rPr>
        <w:t>运行维护服务能力成熟度模型》</w:t>
      </w:r>
    </w:p>
    <w:p w14:paraId="1F258510">
      <w:pPr>
        <w:pStyle w:val="12"/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jc w:val="both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spacing w:val="-1"/>
          <w:position w:val="1"/>
          <w:sz w:val="24"/>
          <w:szCs w:val="24"/>
        </w:rPr>
        <w:t>GB/T 28827.1-2022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《信息技术服务</w:t>
      </w:r>
      <w:r>
        <w:rPr>
          <w:rFonts w:ascii="宋体" w:hAnsi="宋体" w:eastAsia="宋体" w:cs="宋体"/>
          <w:spacing w:val="-2"/>
          <w:position w:val="1"/>
          <w:sz w:val="24"/>
          <w:szCs w:val="24"/>
        </w:rPr>
        <w:t xml:space="preserve"> 运行维护 第</w:t>
      </w:r>
      <w:r>
        <w:rPr>
          <w:rFonts w:ascii="宋体" w:hAnsi="宋体" w:eastAsia="宋体" w:cs="宋体"/>
          <w:spacing w:val="-34"/>
          <w:position w:val="1"/>
          <w:sz w:val="24"/>
          <w:szCs w:val="24"/>
        </w:rPr>
        <w:t xml:space="preserve"> </w:t>
      </w:r>
      <w:r>
        <w:rPr>
          <w:spacing w:val="-2"/>
          <w:position w:val="1"/>
          <w:sz w:val="24"/>
          <w:szCs w:val="24"/>
        </w:rPr>
        <w:t xml:space="preserve">1 </w:t>
      </w:r>
      <w:r>
        <w:rPr>
          <w:rFonts w:ascii="宋体" w:hAnsi="宋体" w:eastAsia="宋体" w:cs="宋体"/>
          <w:spacing w:val="-2"/>
          <w:position w:val="1"/>
          <w:sz w:val="24"/>
          <w:szCs w:val="24"/>
        </w:rPr>
        <w:t>部分：通用要求》</w:t>
      </w:r>
    </w:p>
    <w:p w14:paraId="06632E52">
      <w:pPr>
        <w:pStyle w:val="12"/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spacing w:val="-1"/>
          <w:position w:val="1"/>
          <w:sz w:val="24"/>
          <w:szCs w:val="24"/>
        </w:rPr>
        <w:t>GB/T 29264-2012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《信息技术服务 分类与代码》</w:t>
      </w:r>
    </w:p>
    <w:p w14:paraId="17BC4B31">
      <w:pPr>
        <w:pStyle w:val="12"/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spacing w:val="-1"/>
          <w:position w:val="1"/>
          <w:sz w:val="24"/>
          <w:szCs w:val="24"/>
        </w:rPr>
        <w:t>GB/T 28827.2-2012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《信息技术服务 运行维护 第</w:t>
      </w:r>
      <w:r>
        <w:rPr>
          <w:rFonts w:ascii="宋体" w:hAnsi="宋体" w:eastAsia="宋体" w:cs="宋体"/>
          <w:spacing w:val="-53"/>
          <w:position w:val="1"/>
          <w:sz w:val="24"/>
          <w:szCs w:val="24"/>
        </w:rPr>
        <w:t xml:space="preserve"> </w:t>
      </w:r>
      <w:r>
        <w:rPr>
          <w:spacing w:val="-1"/>
          <w:position w:val="1"/>
          <w:sz w:val="24"/>
          <w:szCs w:val="24"/>
        </w:rPr>
        <w:t xml:space="preserve">2 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部分</w:t>
      </w:r>
      <w:r>
        <w:rPr>
          <w:spacing w:val="-1"/>
          <w:position w:val="1"/>
          <w:sz w:val="24"/>
          <w:szCs w:val="24"/>
        </w:rPr>
        <w:t>: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交付规范》</w:t>
      </w:r>
    </w:p>
    <w:p w14:paraId="65E8D66A">
      <w:pPr>
        <w:pStyle w:val="12"/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spacing w:val="-2"/>
          <w:sz w:val="24"/>
          <w:szCs w:val="24"/>
        </w:rPr>
        <w:t>GB/T</w:t>
      </w:r>
      <w:r>
        <w:rPr>
          <w:spacing w:val="50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28827.3-2012</w:t>
      </w:r>
      <w:r>
        <w:rPr>
          <w:rFonts w:ascii="宋体" w:hAnsi="宋体" w:eastAsia="宋体" w:cs="宋体"/>
          <w:spacing w:val="-2"/>
          <w:sz w:val="24"/>
          <w:szCs w:val="24"/>
        </w:rPr>
        <w:t>《信息技术服务</w:t>
      </w:r>
      <w:r>
        <w:rPr>
          <w:rFonts w:ascii="宋体" w:hAnsi="宋体" w:eastAsia="宋体" w:cs="宋体"/>
          <w:spacing w:val="63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运行维护</w:t>
      </w:r>
      <w:r>
        <w:rPr>
          <w:rFonts w:ascii="宋体" w:hAnsi="宋体" w:eastAsia="宋体" w:cs="宋体"/>
          <w:spacing w:val="52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第</w:t>
      </w:r>
      <w:r>
        <w:rPr>
          <w:rFonts w:ascii="宋体" w:hAnsi="宋体" w:eastAsia="宋体" w:cs="宋体"/>
          <w:spacing w:val="-50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 xml:space="preserve">3 </w:t>
      </w:r>
      <w:r>
        <w:rPr>
          <w:rFonts w:ascii="宋体" w:hAnsi="宋体" w:eastAsia="宋体" w:cs="宋体"/>
          <w:spacing w:val="-2"/>
          <w:sz w:val="24"/>
          <w:szCs w:val="24"/>
        </w:rPr>
        <w:t>部分</w:t>
      </w:r>
      <w:r>
        <w:rPr>
          <w:spacing w:val="-2"/>
          <w:sz w:val="24"/>
          <w:szCs w:val="24"/>
        </w:rPr>
        <w:t>:</w:t>
      </w:r>
      <w:r>
        <w:rPr>
          <w:rFonts w:ascii="宋体" w:hAnsi="宋体" w:eastAsia="宋体" w:cs="宋体"/>
          <w:spacing w:val="-2"/>
          <w:sz w:val="24"/>
          <w:szCs w:val="24"/>
        </w:rPr>
        <w:t>应急响应规</w:t>
      </w:r>
      <w:r>
        <w:rPr>
          <w:rFonts w:ascii="宋体" w:hAnsi="宋体" w:eastAsia="宋体" w:cs="宋体"/>
          <w:spacing w:val="-7"/>
          <w:sz w:val="24"/>
          <w:szCs w:val="24"/>
        </w:rPr>
        <w:t>范》</w:t>
      </w:r>
    </w:p>
    <w:p w14:paraId="1F6C641F">
      <w:pPr>
        <w:pStyle w:val="12"/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国家有关法律、法规及行业标准</w:t>
      </w:r>
    </w:p>
    <w:p w14:paraId="5F5ED8EB">
      <w:pPr>
        <w:pStyle w:val="26"/>
        <w:bidi w:val="0"/>
      </w:pPr>
      <w:bookmarkStart w:id="6" w:name="_Toc19481"/>
      <w:r>
        <w:t>术语与定义</w:t>
      </w:r>
      <w:bookmarkEnd w:id="6"/>
    </w:p>
    <w:p w14:paraId="02A131C0">
      <w:pPr>
        <w:spacing w:before="172" w:line="220" w:lineRule="auto"/>
        <w:ind w:left="50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无</w:t>
      </w:r>
    </w:p>
    <w:p w14:paraId="28B23727">
      <w:pPr>
        <w:pStyle w:val="26"/>
        <w:bidi w:val="0"/>
      </w:pPr>
      <w:bookmarkStart w:id="7" w:name="_Toc22407"/>
      <w:r>
        <w:t>角色与职责</w:t>
      </w:r>
      <w:bookmarkEnd w:id="7"/>
    </w:p>
    <w:p w14:paraId="69A144A0">
      <w:pPr>
        <w:spacing w:before="128"/>
      </w:pPr>
    </w:p>
    <w:tbl>
      <w:tblPr>
        <w:tblStyle w:val="24"/>
        <w:tblW w:w="7655" w:type="dxa"/>
        <w:tblInd w:w="55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54"/>
        <w:gridCol w:w="6301"/>
      </w:tblGrid>
      <w:tr w14:paraId="2133C4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2" w:hRule="atLeast"/>
        </w:trPr>
        <w:tc>
          <w:tcPr>
            <w:tcW w:w="1354" w:type="dxa"/>
            <w:shd w:val="clear" w:color="auto" w:fill="F2F2F2"/>
          </w:tcPr>
          <w:p w14:paraId="782AD787">
            <w:pPr>
              <w:spacing w:before="60" w:line="219" w:lineRule="auto"/>
              <w:ind w:left="44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角色</w:t>
            </w:r>
          </w:p>
        </w:tc>
        <w:tc>
          <w:tcPr>
            <w:tcW w:w="6301" w:type="dxa"/>
            <w:shd w:val="clear" w:color="auto" w:fill="F2F2F2"/>
          </w:tcPr>
          <w:p w14:paraId="10EEAB0F">
            <w:pPr>
              <w:spacing w:before="61" w:line="221" w:lineRule="auto"/>
              <w:ind w:left="29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职责</w:t>
            </w:r>
          </w:p>
        </w:tc>
      </w:tr>
      <w:tr w14:paraId="6ED34B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1432" w:hRule="atLeast"/>
        </w:trPr>
        <w:tc>
          <w:tcPr>
            <w:tcW w:w="1354" w:type="dxa"/>
          </w:tcPr>
          <w:p w14:paraId="4EA988CA">
            <w:pPr>
              <w:pStyle w:val="25"/>
              <w:spacing w:line="257" w:lineRule="auto"/>
            </w:pPr>
          </w:p>
          <w:p w14:paraId="0300B76F">
            <w:pPr>
              <w:pStyle w:val="25"/>
              <w:spacing w:line="257" w:lineRule="auto"/>
            </w:pPr>
          </w:p>
          <w:p w14:paraId="3BBE947F">
            <w:pPr>
              <w:spacing w:before="78" w:line="220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管理层</w:t>
            </w:r>
          </w:p>
        </w:tc>
        <w:tc>
          <w:tcPr>
            <w:tcW w:w="6301" w:type="dxa"/>
          </w:tcPr>
          <w:p w14:paraId="2F6BF5CC">
            <w:pPr>
              <w:spacing w:before="64" w:line="223" w:lineRule="auto"/>
              <w:ind w:left="15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0" b="0"/>
                  <wp:docPr id="4" name="IM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 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2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负责审批年度服务能力管理计划。</w:t>
            </w:r>
          </w:p>
          <w:p w14:paraId="59E0ED63">
            <w:pPr>
              <w:spacing w:before="105" w:line="223" w:lineRule="auto"/>
              <w:ind w:left="15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0" b="0"/>
                  <wp:docPr id="6" name="IM 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 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5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定期对服务实施过程和服务实施过程的改进进行监控管理。</w:t>
            </w:r>
          </w:p>
          <w:p w14:paraId="27631878">
            <w:pPr>
              <w:spacing w:before="105" w:line="271" w:lineRule="auto"/>
              <w:ind w:left="567" w:right="270" w:hanging="415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0" b="0"/>
                  <wp:docPr id="8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 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6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负责公司运维服务体系的管理评审，以确保运维服务能力的</w:t>
            </w: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适应性和有效性。</w:t>
            </w:r>
          </w:p>
        </w:tc>
      </w:tr>
      <w:tr w14:paraId="2E4E59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2" w:hRule="atLeast"/>
        </w:trPr>
        <w:tc>
          <w:tcPr>
            <w:tcW w:w="1354" w:type="dxa"/>
            <w:shd w:val="clear" w:color="auto" w:fill="auto"/>
          </w:tcPr>
          <w:p w14:paraId="5D588EEE">
            <w:pPr>
              <w:pStyle w:val="25"/>
              <w:spacing w:line="252" w:lineRule="auto"/>
            </w:pPr>
          </w:p>
          <w:p w14:paraId="0F4881D1">
            <w:pPr>
              <w:pStyle w:val="25"/>
              <w:spacing w:line="252" w:lineRule="auto"/>
            </w:pPr>
          </w:p>
          <w:p w14:paraId="57162C4C">
            <w:pPr>
              <w:pStyle w:val="25"/>
              <w:spacing w:line="252" w:lineRule="auto"/>
            </w:pPr>
          </w:p>
          <w:p w14:paraId="17BB8749">
            <w:pPr>
              <w:pStyle w:val="25"/>
              <w:spacing w:line="252" w:lineRule="auto"/>
            </w:pPr>
          </w:p>
          <w:p w14:paraId="0093982B">
            <w:pPr>
              <w:pStyle w:val="25"/>
              <w:spacing w:line="252" w:lineRule="auto"/>
            </w:pPr>
          </w:p>
          <w:p w14:paraId="15EF3826">
            <w:pPr>
              <w:pStyle w:val="25"/>
              <w:spacing w:line="253" w:lineRule="auto"/>
            </w:pPr>
          </w:p>
          <w:p w14:paraId="09A890D8">
            <w:pPr>
              <w:pStyle w:val="25"/>
              <w:spacing w:line="253" w:lineRule="auto"/>
            </w:pPr>
          </w:p>
          <w:p w14:paraId="481159CD">
            <w:pPr>
              <w:spacing w:before="78" w:line="220" w:lineRule="auto"/>
              <w:ind w:left="113" w:leftChars="0"/>
              <w:outlineLvl w:val="1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bookmarkStart w:id="8" w:name="_Toc32"/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质量部</w:t>
            </w:r>
            <w:bookmarkEnd w:id="8"/>
          </w:p>
        </w:tc>
        <w:tc>
          <w:tcPr>
            <w:tcW w:w="6301" w:type="dxa"/>
            <w:shd w:val="clear" w:color="auto" w:fill="auto"/>
          </w:tcPr>
          <w:p w14:paraId="382DD987">
            <w:pPr>
              <w:spacing w:before="67" w:line="272" w:lineRule="auto"/>
              <w:ind w:left="567" w:right="270" w:hanging="415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41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IM 10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6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负责运维服务的公司级质量保证，制定总体的服务质量管理</w:t>
            </w:r>
            <w:r>
              <w:rPr>
                <w:rFonts w:ascii="宋体" w:hAnsi="宋体" w:eastAsia="宋体" w:cs="宋体"/>
                <w:spacing w:val="-9"/>
                <w:sz w:val="21"/>
                <w:szCs w:val="21"/>
              </w:rPr>
              <w:t>计划。</w:t>
            </w:r>
          </w:p>
          <w:p w14:paraId="4D605860">
            <w:pPr>
              <w:spacing w:before="100" w:line="270" w:lineRule="auto"/>
              <w:ind w:left="569" w:right="101" w:hanging="417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43" name="IM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IM 1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0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监控运维服务质量,</w:t>
            </w:r>
            <w:r>
              <w:rPr>
                <w:rFonts w:ascii="宋体" w:hAnsi="宋体" w:eastAsia="宋体" w:cs="宋体"/>
                <w:spacing w:val="38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定期组织质量分析会议，对运维业务开</w:t>
            </w: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展情况进行评估。</w:t>
            </w:r>
          </w:p>
          <w:p w14:paraId="686A708A">
            <w:pPr>
              <w:spacing w:before="102" w:line="223" w:lineRule="auto"/>
              <w:ind w:left="15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45" name="IM 1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IM 1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5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对公司运维服务业务的质量进行监控。</w:t>
            </w:r>
          </w:p>
          <w:p w14:paraId="60BD4C76">
            <w:pPr>
              <w:spacing w:before="105" w:line="271" w:lineRule="auto"/>
              <w:ind w:left="584" w:right="270" w:hanging="43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47" name="IM 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IM 1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6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负责公司运维服务体系的定期内部评审，对内审中不符合项</w:t>
            </w:r>
            <w:r>
              <w:rPr>
                <w:rFonts w:ascii="宋体" w:hAnsi="宋体" w:eastAsia="宋体" w:cs="宋体"/>
                <w:spacing w:val="-6"/>
                <w:sz w:val="21"/>
                <w:szCs w:val="21"/>
              </w:rPr>
              <w:t>的处理进行跟踪记录。</w:t>
            </w:r>
          </w:p>
          <w:p w14:paraId="3070BE37">
            <w:pPr>
              <w:spacing w:before="100" w:line="223" w:lineRule="auto"/>
              <w:ind w:left="15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49" name="IM 1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IM 1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6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负责改进措施的监督及检查。</w:t>
            </w:r>
          </w:p>
          <w:p w14:paraId="79A25A4F">
            <w:pPr>
              <w:spacing w:before="105" w:line="223" w:lineRule="auto"/>
              <w:ind w:left="15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50" name="IM 2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IM 2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27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对重大投诉进行原因分析、处理和回访。</w:t>
            </w:r>
          </w:p>
          <w:p w14:paraId="6DD7E69D">
            <w:pPr>
              <w:spacing w:before="105" w:line="223" w:lineRule="auto"/>
              <w:ind w:left="15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3810"/>
                  <wp:docPr id="51" name="IM 2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IM 2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0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对每年运维服务报告进行审查。</w:t>
            </w:r>
          </w:p>
          <w:p w14:paraId="18E32436">
            <w:pPr>
              <w:spacing w:before="105" w:line="223" w:lineRule="auto"/>
              <w:ind w:left="15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52" name="IM 2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IM 24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5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负责客户满意度调查。</w:t>
            </w:r>
          </w:p>
        </w:tc>
      </w:tr>
      <w:tr w14:paraId="3F6A52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1432" w:hRule="atLeast"/>
        </w:trPr>
        <w:tc>
          <w:tcPr>
            <w:tcW w:w="0" w:type="auto"/>
            <w:shd w:val="clear" w:color="auto" w:fill="auto"/>
          </w:tcPr>
          <w:p w14:paraId="62E5113F">
            <w:pPr>
              <w:pStyle w:val="25"/>
              <w:spacing w:line="252" w:lineRule="auto"/>
            </w:pPr>
          </w:p>
          <w:p w14:paraId="0323C9F7">
            <w:pPr>
              <w:pStyle w:val="25"/>
              <w:spacing w:line="252" w:lineRule="auto"/>
            </w:pPr>
          </w:p>
          <w:p w14:paraId="11899165">
            <w:pPr>
              <w:pStyle w:val="25"/>
              <w:spacing w:line="252" w:lineRule="auto"/>
            </w:pPr>
          </w:p>
          <w:p w14:paraId="5833FC8E">
            <w:pPr>
              <w:pStyle w:val="25"/>
              <w:spacing w:line="252" w:lineRule="auto"/>
            </w:pPr>
          </w:p>
          <w:p w14:paraId="6E27FB5A">
            <w:pPr>
              <w:pStyle w:val="25"/>
              <w:spacing w:line="252" w:lineRule="auto"/>
            </w:pPr>
          </w:p>
          <w:p w14:paraId="57642313">
            <w:pPr>
              <w:pStyle w:val="25"/>
              <w:spacing w:line="252" w:lineRule="auto"/>
            </w:pPr>
          </w:p>
          <w:p w14:paraId="77D70204">
            <w:pPr>
              <w:pStyle w:val="25"/>
              <w:spacing w:line="253" w:lineRule="auto"/>
            </w:pPr>
          </w:p>
          <w:p w14:paraId="58FD6650">
            <w:pPr>
              <w:spacing w:before="78" w:line="278" w:lineRule="auto"/>
              <w:ind w:left="114" w:leftChars="0" w:right="280" w:rightChars="0" w:hanging="2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运维部</w:t>
            </w:r>
          </w:p>
        </w:tc>
        <w:tc>
          <w:tcPr>
            <w:tcW w:w="0" w:type="auto"/>
            <w:shd w:val="clear" w:color="auto" w:fill="auto"/>
          </w:tcPr>
          <w:p w14:paraId="7B45C9CF">
            <w:pPr>
              <w:spacing w:before="66" w:line="271" w:lineRule="auto"/>
              <w:ind w:left="569" w:right="165" w:hanging="417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53" name="IM 2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IM 2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7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负责对所运维业务进行质量控制,对质量部和服务台提供的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客户服务质量调查结果进行分析和处理。</w:t>
            </w:r>
          </w:p>
          <w:p w14:paraId="4B0F3527">
            <w:pPr>
              <w:spacing w:before="101" w:line="223" w:lineRule="auto"/>
              <w:ind w:left="15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54" name="IM 2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IM 2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4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定期组织召开质量分析会。</w:t>
            </w:r>
          </w:p>
          <w:p w14:paraId="46D76F8E">
            <w:pPr>
              <w:spacing w:before="105" w:line="223" w:lineRule="auto"/>
              <w:ind w:left="15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55" name="IM 3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IM 3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27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跟踪客户投诉的处理过程。</w:t>
            </w:r>
          </w:p>
          <w:p w14:paraId="2F86E49D">
            <w:pPr>
              <w:spacing w:before="105" w:line="223" w:lineRule="auto"/>
              <w:ind w:left="15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56" name="IM 3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IM 3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4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定期编写总结报告，持续改进完善维护服务能力和质量。</w:t>
            </w:r>
          </w:p>
          <w:p w14:paraId="59131FC2">
            <w:pPr>
              <w:spacing w:before="105" w:line="223" w:lineRule="auto"/>
              <w:ind w:left="15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57" name="IM 3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IM 3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4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负责监控服务的处理过程。</w:t>
            </w:r>
          </w:p>
          <w:p w14:paraId="2A5DB1F8">
            <w:pPr>
              <w:spacing w:before="105" w:line="223" w:lineRule="auto"/>
              <w:ind w:left="15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3810"/>
                  <wp:docPr id="58" name="IM 3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IM 36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0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对每个处理事件进行客户回访。</w:t>
            </w:r>
          </w:p>
          <w:p w14:paraId="51CC9E2C">
            <w:pPr>
              <w:spacing w:before="105" w:line="271" w:lineRule="auto"/>
              <w:ind w:left="570" w:right="270" w:hanging="41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59" name="IM 3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IM 3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6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接收和处理客户投诉，重要的客户投诉信息及时反馈给相关</w:t>
            </w:r>
            <w:r>
              <w:rPr>
                <w:rFonts w:ascii="宋体" w:hAnsi="宋体" w:eastAsia="宋体" w:cs="宋体"/>
                <w:spacing w:val="-7"/>
                <w:sz w:val="21"/>
                <w:szCs w:val="21"/>
              </w:rPr>
              <w:t>部门处理。</w:t>
            </w:r>
          </w:p>
          <w:p w14:paraId="2D72221C">
            <w:pPr>
              <w:spacing w:before="100" w:line="286" w:lineRule="auto"/>
              <w:ind w:left="571" w:leftChars="0" w:right="270" w:rightChars="0" w:hanging="41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60" name="IM 4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IM 40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6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包括运维项目经理、技术支持工程师、网络工程师等相关人员，按照运维岗位职责的要求、工作流程及质量要求，实施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具体运维服务任务，并将过程形成记录。</w:t>
            </w:r>
          </w:p>
        </w:tc>
      </w:tr>
      <w:tr w14:paraId="4BF4E8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2" w:hRule="atLeast"/>
        </w:trPr>
        <w:tc>
          <w:tcPr>
            <w:tcW w:w="0" w:type="auto"/>
            <w:shd w:val="clear" w:color="auto" w:fill="auto"/>
          </w:tcPr>
          <w:p w14:paraId="75BF8963">
            <w:pPr>
              <w:pStyle w:val="25"/>
              <w:spacing w:line="260" w:lineRule="auto"/>
            </w:pPr>
          </w:p>
          <w:p w14:paraId="1422B580">
            <w:pPr>
              <w:pStyle w:val="25"/>
              <w:spacing w:line="260" w:lineRule="auto"/>
            </w:pPr>
          </w:p>
          <w:p w14:paraId="0838FA6F">
            <w:pPr>
              <w:spacing w:before="78" w:line="220" w:lineRule="auto"/>
              <w:ind w:left="11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其他部门</w:t>
            </w:r>
          </w:p>
        </w:tc>
        <w:tc>
          <w:tcPr>
            <w:tcW w:w="0" w:type="auto"/>
            <w:shd w:val="clear" w:color="auto" w:fill="auto"/>
          </w:tcPr>
          <w:p w14:paraId="2F01BC1A">
            <w:pPr>
              <w:spacing w:before="71" w:line="223" w:lineRule="auto"/>
              <w:ind w:left="15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61" name="IM 4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IM 4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1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参与能力管理计划的制定；</w:t>
            </w:r>
          </w:p>
          <w:p w14:paraId="0245C306">
            <w:pPr>
              <w:spacing w:before="105" w:line="223" w:lineRule="auto"/>
              <w:ind w:left="15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62" name="IM 4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IM 4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29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按照能力管理计划实施；</w:t>
            </w:r>
          </w:p>
          <w:p w14:paraId="3D8BD483">
            <w:pPr>
              <w:spacing w:before="105" w:line="223" w:lineRule="auto"/>
              <w:ind w:left="15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3810"/>
                  <wp:docPr id="63" name="IM 4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IM 46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28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接受质量部的监督和检查，并定期汇报计划的实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施情况；</w:t>
            </w:r>
          </w:p>
          <w:p w14:paraId="705DF074">
            <w:pPr>
              <w:spacing w:before="105" w:line="223" w:lineRule="auto"/>
              <w:ind w:left="15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64" name="IM 4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IM 4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1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针对实施过程中发现的问题采取有效的改进措施。</w:t>
            </w:r>
          </w:p>
        </w:tc>
      </w:tr>
    </w:tbl>
    <w:p w14:paraId="46446FBD">
      <w:pPr>
        <w:spacing w:line="91" w:lineRule="auto"/>
        <w:rPr>
          <w:rFonts w:ascii="Arial"/>
          <w:sz w:val="2"/>
        </w:rPr>
      </w:pPr>
    </w:p>
    <w:p w14:paraId="062E7F2C">
      <w:pPr>
        <w:pStyle w:val="12"/>
        <w:spacing w:line="328" w:lineRule="auto"/>
      </w:pPr>
    </w:p>
    <w:p w14:paraId="7DF3FD4F">
      <w:pPr>
        <w:pStyle w:val="26"/>
        <w:bidi w:val="0"/>
      </w:pPr>
      <w:bookmarkStart w:id="9" w:name="_Toc9050"/>
      <w:r>
        <w:t>部门岗位</w:t>
      </w:r>
      <w:bookmarkEnd w:id="9"/>
    </w:p>
    <w:p w14:paraId="526298C8">
      <w:pPr>
        <w:pStyle w:val="28"/>
        <w:bidi w:val="0"/>
      </w:pPr>
      <w:bookmarkStart w:id="10" w:name="bookmark23"/>
      <w:bookmarkEnd w:id="10"/>
      <w:bookmarkStart w:id="11" w:name="_Toc10638"/>
      <w:r>
        <w:t>公司高层</w:t>
      </w:r>
      <w:bookmarkEnd w:id="11"/>
    </w:p>
    <w:p w14:paraId="3A150509">
      <w:pPr>
        <w:pStyle w:val="12"/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负责审批年度服务管理计划。</w:t>
      </w:r>
    </w:p>
    <w:p w14:paraId="000A1C17">
      <w:pPr>
        <w:pStyle w:val="12"/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定期对服务实施过程进行监控和管理，对服务实施过程的改进进行审批。</w:t>
      </w:r>
    </w:p>
    <w:p w14:paraId="590BD927">
      <w:pPr>
        <w:pStyle w:val="12"/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负责公司运维服务体系的管理评审，以确保运维服务能力的适应性和有效性</w:t>
      </w:r>
    </w:p>
    <w:p w14:paraId="299E9946">
      <w:pPr>
        <w:pStyle w:val="28"/>
        <w:bidi w:val="0"/>
      </w:pPr>
      <w:bookmarkStart w:id="12" w:name="_Toc12926"/>
      <w:r>
        <w:t>质量部</w:t>
      </w:r>
      <w:bookmarkEnd w:id="12"/>
    </w:p>
    <w:p w14:paraId="38B148E0">
      <w:pPr>
        <w:pStyle w:val="12"/>
        <w:keepNext w:val="0"/>
        <w:keepLines w:val="0"/>
        <w:pageBreakBefore w:val="0"/>
        <w:widowControl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负责公司运维服务体系的定期内部评审，对内审中不达标项的处理进行跟踪记录。</w:t>
      </w:r>
    </w:p>
    <w:p w14:paraId="57121230">
      <w:pPr>
        <w:pStyle w:val="12"/>
        <w:keepNext w:val="0"/>
        <w:keepLines w:val="0"/>
        <w:pageBreakBefore w:val="0"/>
        <w:widowControl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负责运维服务的组织级质量保证。</w:t>
      </w:r>
    </w:p>
    <w:p w14:paraId="3E973DAC">
      <w:pPr>
        <w:pStyle w:val="12"/>
        <w:keepNext w:val="0"/>
        <w:keepLines w:val="0"/>
        <w:pageBreakBefore w:val="0"/>
        <w:widowControl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对公司运维服务业务的质量进行监控。</w:t>
      </w:r>
    </w:p>
    <w:p w14:paraId="2BD2E07D">
      <w:pPr>
        <w:pStyle w:val="12"/>
        <w:keepNext w:val="0"/>
        <w:keepLines w:val="0"/>
        <w:pageBreakBefore w:val="0"/>
        <w:widowControl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负责组织级客户满意度的调查。</w:t>
      </w:r>
    </w:p>
    <w:p w14:paraId="14FEE180">
      <w:pPr>
        <w:pStyle w:val="12"/>
        <w:keepNext w:val="0"/>
        <w:keepLines w:val="0"/>
        <w:pageBreakBefore w:val="0"/>
        <w:widowControl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负责改进措施的监督及检查。</w:t>
      </w:r>
    </w:p>
    <w:p w14:paraId="11DFA4E8">
      <w:pPr>
        <w:pStyle w:val="28"/>
        <w:bidi w:val="0"/>
      </w:pPr>
      <w:bookmarkStart w:id="13" w:name="_Toc17272"/>
      <w:r>
        <w:t>运维部</w:t>
      </w:r>
      <w:bookmarkEnd w:id="13"/>
    </w:p>
    <w:p w14:paraId="10ED5BB2">
      <w:pPr>
        <w:pStyle w:val="12"/>
        <w:keepNext w:val="0"/>
        <w:keepLines w:val="0"/>
        <w:pageBreakBefore w:val="0"/>
        <w:widowControl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负责对所管辖的业务质量计划的制定。</w:t>
      </w:r>
    </w:p>
    <w:p w14:paraId="2F34192F">
      <w:pPr>
        <w:pStyle w:val="12"/>
        <w:keepNext w:val="0"/>
        <w:keepLines w:val="0"/>
        <w:pageBreakBefore w:val="0"/>
        <w:widowControl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负责对所管辖的业务进行质量控制,对质量部和服务台提供的客户服务质量调查结果进行分析和处理。</w:t>
      </w:r>
    </w:p>
    <w:p w14:paraId="5422684B">
      <w:pPr>
        <w:pStyle w:val="12"/>
        <w:keepNext w:val="0"/>
        <w:keepLines w:val="0"/>
        <w:pageBreakBefore w:val="0"/>
        <w:widowControl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定期组织召开质量分析会。</w:t>
      </w:r>
    </w:p>
    <w:p w14:paraId="69F38A46">
      <w:pPr>
        <w:pStyle w:val="12"/>
        <w:keepNext w:val="0"/>
        <w:keepLines w:val="0"/>
        <w:pageBreakBefore w:val="0"/>
        <w:widowControl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跟踪客户投诉的处理过程。</w:t>
      </w:r>
    </w:p>
    <w:p w14:paraId="00412ADE">
      <w:pPr>
        <w:pStyle w:val="12"/>
        <w:keepNext w:val="0"/>
        <w:keepLines w:val="0"/>
        <w:pageBreakBefore w:val="0"/>
        <w:widowControl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定期编写总结报告，持续改进完善维护服务能力和质量。</w:t>
      </w:r>
    </w:p>
    <w:p w14:paraId="48DB105F">
      <w:pPr>
        <w:pStyle w:val="28"/>
        <w:bidi w:val="0"/>
      </w:pPr>
      <w:bookmarkStart w:id="14" w:name="_Toc20957"/>
      <w:r>
        <w:t>服务台</w:t>
      </w:r>
      <w:bookmarkEnd w:id="14"/>
    </w:p>
    <w:p w14:paraId="42FAAE07">
      <w:pPr>
        <w:pStyle w:val="12"/>
        <w:keepNext w:val="0"/>
        <w:keepLines w:val="0"/>
        <w:pageBreakBefore w:val="0"/>
        <w:widowControl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负责监控服务的处理过程。</w:t>
      </w:r>
    </w:p>
    <w:p w14:paraId="76D3E127">
      <w:pPr>
        <w:pStyle w:val="12"/>
        <w:keepNext w:val="0"/>
        <w:keepLines w:val="0"/>
        <w:pageBreakBefore w:val="0"/>
        <w:widowControl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接收和处理客户投诉，重要的客户投诉信息及时反馈给相关部门处理。</w:t>
      </w:r>
    </w:p>
    <w:p w14:paraId="515481F5">
      <w:pPr>
        <w:pStyle w:val="12"/>
        <w:keepNext w:val="0"/>
        <w:keepLines w:val="0"/>
        <w:pageBreakBefore w:val="0"/>
        <w:widowControl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负责服务数据的统计，并报送给相关部门。</w:t>
      </w:r>
    </w:p>
    <w:p w14:paraId="027C47C0">
      <w:pPr>
        <w:pStyle w:val="28"/>
        <w:bidi w:val="0"/>
      </w:pPr>
      <w:bookmarkStart w:id="15" w:name="_Toc21668"/>
      <w:r>
        <w:t>运维服务人员</w:t>
      </w:r>
      <w:bookmarkEnd w:id="15"/>
    </w:p>
    <w:p w14:paraId="6DA96FE0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jc w:val="both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包括技术支持工程师、网络工程师等人员，按照运维岗位职责的要求、工作流程及质量要求，实施具体运维服务任务，并将过程形成记录。</w:t>
      </w:r>
    </w:p>
    <w:p w14:paraId="34824D66">
      <w:pPr>
        <w:pStyle w:val="26"/>
        <w:bidi w:val="0"/>
      </w:pPr>
      <w:bookmarkStart w:id="16" w:name="_Toc11424"/>
      <w:r>
        <w:t>质量管理内容</w:t>
      </w:r>
      <w:bookmarkEnd w:id="16"/>
    </w:p>
    <w:p w14:paraId="49BD0F39">
      <w:pPr>
        <w:pStyle w:val="28"/>
        <w:bidi w:val="0"/>
      </w:pPr>
      <w:bookmarkStart w:id="17" w:name="bookmark24"/>
      <w:bookmarkEnd w:id="17"/>
      <w:bookmarkStart w:id="18" w:name="_Toc1320"/>
      <w:r>
        <w:t>高层的质量管理活动</w:t>
      </w:r>
      <w:bookmarkEnd w:id="18"/>
    </w:p>
    <w:p w14:paraId="11239726">
      <w:pPr>
        <w:pStyle w:val="12"/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制定管控指标:根据市场情况、技术发展和公司自身变化，制定并周期性的评审公司运维业务的方针策略和目标，评审服务目录、管控目标，评审组织结构和管理制度</w:t>
      </w:r>
    </w:p>
    <w:p w14:paraId="4F1B887E">
      <w:pPr>
        <w:pStyle w:val="12"/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管理评审:管理评审的目的是通过对公司服务体系运行的适宜性、充分性和有效性进行评价，确定公司服务体系的改进方向。</w:t>
      </w:r>
    </w:p>
    <w:p w14:paraId="17B10B95">
      <w:pPr>
        <w:pStyle w:val="12"/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服务改进规划：根据市场情况、技术发展和公司自身变化，周期性的评审服务工作中存在的问题，并评估批准整改措施；评审现有流程执行的差距和改进措施，更好地适应服务需求；通过服务改进管理，提高运维服务工作的适应性和管理水平。</w:t>
      </w:r>
    </w:p>
    <w:p w14:paraId="3D7D82DC">
      <w:pPr>
        <w:pStyle w:val="28"/>
        <w:bidi w:val="0"/>
      </w:pPr>
      <w:bookmarkStart w:id="19" w:name="_Toc5582"/>
      <w:r>
        <w:t>质量部的质量管理活动</w:t>
      </w:r>
      <w:bookmarkEnd w:id="19"/>
    </w:p>
    <w:p w14:paraId="3A5DAF25">
      <w:pPr>
        <w:pStyle w:val="12"/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内审和管理评审：公司质量部负责组织每年一次的内审和每年一次的管理评审，来评价公司的运维服务能力的适应性和有效性。</w:t>
      </w:r>
    </w:p>
    <w:p w14:paraId="31701EE1">
      <w:pPr>
        <w:pStyle w:val="12"/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客户满意度调查：公司质量部负责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每年至少进行一次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，并对调查结果进行分析和总结，对相关的调查结果进行分析，及时反馈给相关部门和责任人，对重大质量问题进行跟踪和督促。</w:t>
      </w:r>
    </w:p>
    <w:p w14:paraId="4B6B1EEC">
      <w:pPr>
        <w:pStyle w:val="28"/>
        <w:bidi w:val="0"/>
      </w:pPr>
      <w:bookmarkStart w:id="20" w:name="_Toc8720"/>
      <w:r>
        <w:t>运维部的质量管理活动</w:t>
      </w:r>
      <w:bookmarkEnd w:id="20"/>
    </w:p>
    <w:p w14:paraId="0793A2B6">
      <w:pPr>
        <w:pStyle w:val="12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签订服务协议：运维部门经理协助销售部门与客户签订服务级别协议SLA（SLA服务合同）。</w:t>
      </w:r>
    </w:p>
    <w:p w14:paraId="48C462B7">
      <w:pPr>
        <w:pStyle w:val="12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质量计划：运维部经理或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运维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项目经理制定服务项目的质量保证计划，以确保服务目标的实现，服务风险的降低。</w:t>
      </w:r>
    </w:p>
    <w:p w14:paraId="2E8E7952">
      <w:pPr>
        <w:pStyle w:val="12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服务执行：从项目开始实施至结束，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运维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项目经理监督、控制服务过程中的每一个环节，包括事件、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问题、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配置、变更、发布、信息安全、容量、过程框架、可用性、业务连续性，按合同要求形成服务报告，在报告中详细列明 SLA 达成情况。服务台管理员及时回访客户，调查服务满意度。</w:t>
      </w:r>
    </w:p>
    <w:p w14:paraId="0D3C771A">
      <w:pPr>
        <w:pStyle w:val="12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质量分析：运维部门经理对本部门的各项目质量进行管理，包括数据统计、分析、预警、跟踪。检查各项运维服务指标达成情况，并与 SLA 的要求进行对比，对未达标项提出改进措施，形成项目质量分析报告。</w:t>
      </w:r>
    </w:p>
    <w:p w14:paraId="6BBAEB28">
      <w:pPr>
        <w:pStyle w:val="12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质量改进：由质量部经理组织相关人员，通过阶段性（季度）</w:t>
      </w:r>
      <w:r>
        <w:rPr>
          <w:rFonts w:ascii="宋体" w:hAnsi="宋体" w:eastAsia="宋体" w:cs="宋体"/>
          <w:spacing w:val="-2"/>
          <w:sz w:val="24"/>
          <w:szCs w:val="24"/>
        </w:rPr>
        <w:t>的运维服务工作总结，对公司服务业务发展过</w:t>
      </w:r>
      <w:r>
        <w:rPr>
          <w:rFonts w:ascii="宋体" w:hAnsi="宋体" w:eastAsia="宋体" w:cs="宋体"/>
          <w:spacing w:val="-3"/>
          <w:sz w:val="24"/>
          <w:szCs w:val="24"/>
        </w:rPr>
        <w:t>程的问题和偏差做出有效评估，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并进行调整和优化，及时了解客户的需求，并根据客户的意见或建议进行改进，保证年度运维服务目标的实现。</w:t>
      </w:r>
    </w:p>
    <w:p w14:paraId="3925EB6B">
      <w:pPr>
        <w:pStyle w:val="26"/>
        <w:bidi w:val="0"/>
      </w:pPr>
      <w:bookmarkStart w:id="21" w:name="_Toc23515"/>
      <w:r>
        <w:t>运维服务质量管理要求</w:t>
      </w:r>
      <w:bookmarkEnd w:id="21"/>
    </w:p>
    <w:p w14:paraId="5A4748EA">
      <w:pPr>
        <w:pStyle w:val="28"/>
        <w:bidi w:val="0"/>
      </w:pPr>
      <w:bookmarkStart w:id="22" w:name="bookmark25"/>
      <w:bookmarkEnd w:id="22"/>
      <w:bookmarkStart w:id="23" w:name="_Toc1843"/>
      <w:r>
        <w:t>客户满意度调查要求</w:t>
      </w:r>
      <w:bookmarkEnd w:id="23"/>
    </w:p>
    <w:p w14:paraId="296D76AD">
      <w:pPr>
        <w:pStyle w:val="12"/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客户满意度调查工作由公司质量部负责，服务台配合完成，分为事件回访和公司级客户满意度调查。</w:t>
      </w:r>
    </w:p>
    <w:p w14:paraId="1F2ACA7E">
      <w:pPr>
        <w:pStyle w:val="12"/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事件回访是对已解决的事件在解决后的 24 小时内进行一次电话回访，了解客户对处理结果的满意度。</w:t>
      </w:r>
    </w:p>
    <w:p w14:paraId="2B3D8A9A">
      <w:pPr>
        <w:pStyle w:val="12"/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公司级客户满意度调查应每年最少进行一次，采用问卷填写，客户满意度调查内容应注意调查样本的比例及覆盖范围，以降低抽样的风险。</w:t>
      </w:r>
    </w:p>
    <w:p w14:paraId="7C66DAB9">
      <w:pPr>
        <w:pStyle w:val="28"/>
        <w:bidi w:val="0"/>
      </w:pPr>
      <w:bookmarkStart w:id="24" w:name="_Toc23985"/>
      <w:r>
        <w:t>项目的质量管理要求</w:t>
      </w:r>
      <w:bookmarkEnd w:id="24"/>
    </w:p>
    <w:p w14:paraId="08F8538D">
      <w:pPr>
        <w:pStyle w:val="12"/>
        <w:keepNext w:val="0"/>
        <w:keepLines w:val="0"/>
        <w:pageBreakBefore w:val="0"/>
        <w:widowControl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运维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项目经理必须严格按照 SLA（或服务合同）的要求，为客户提供运维服务。同时及时监控服务过程，以确保达到 SLA 的要求。并定期向客户和部门经理提交服务报告。</w:t>
      </w:r>
    </w:p>
    <w:p w14:paraId="31DCB4C0">
      <w:pPr>
        <w:pStyle w:val="12"/>
        <w:keepNext w:val="0"/>
        <w:keepLines w:val="0"/>
        <w:pageBreakBefore w:val="0"/>
        <w:widowControl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服务台管理人员及时对已完成的项目进行客户回访，以获取客户的满意度评价。</w:t>
      </w:r>
    </w:p>
    <w:p w14:paraId="5CC3D5B5">
      <w:pPr>
        <w:pStyle w:val="12"/>
        <w:keepNext w:val="0"/>
        <w:keepLines w:val="0"/>
        <w:pageBreakBefore w:val="0"/>
        <w:widowControl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服务台管理人员根据 SLA（或服务合同）制定指标体系，按月进行指标统计，形成质量报告，报送给相关部门及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运维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项目经理。</w:t>
      </w:r>
    </w:p>
    <w:p w14:paraId="311EE77C">
      <w:pPr>
        <w:pStyle w:val="12"/>
        <w:keepNext w:val="0"/>
        <w:keepLines w:val="0"/>
        <w:pageBreakBefore w:val="0"/>
        <w:widowControl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运维部门经理每季度须召开一次质量分析会，回顾和总结月度质量计划完成情况，提出下阶段的改进措施，并对相关人员进行指标考</w:t>
      </w:r>
      <w:r>
        <w:rPr>
          <w:rFonts w:ascii="宋体" w:hAnsi="宋体" w:eastAsia="宋体" w:cs="宋体"/>
          <w:spacing w:val="-2"/>
          <w:sz w:val="24"/>
          <w:szCs w:val="24"/>
        </w:rPr>
        <w:t>核。</w:t>
      </w:r>
    </w:p>
    <w:p w14:paraId="43CFFF00">
      <w:pPr>
        <w:pStyle w:val="28"/>
        <w:bidi w:val="0"/>
      </w:pPr>
      <w:bookmarkStart w:id="25" w:name="_Toc26774"/>
      <w:r>
        <w:t>体系的质量管理要求</w:t>
      </w:r>
      <w:bookmarkEnd w:id="25"/>
    </w:p>
    <w:p w14:paraId="4E67FFF0">
      <w:pPr>
        <w:pStyle w:val="29"/>
        <w:bidi w:val="0"/>
      </w:pPr>
      <w:bookmarkStart w:id="26" w:name="bookmark26"/>
      <w:bookmarkEnd w:id="26"/>
      <w:bookmarkStart w:id="27" w:name="_Toc5368"/>
      <w:r>
        <w:t>内审要求</w:t>
      </w:r>
      <w:bookmarkEnd w:id="27"/>
    </w:p>
    <w:p w14:paraId="4A1D6E5D">
      <w:pPr>
        <w:pStyle w:val="12"/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内审要求每年度执行一次，可根据公司实际情况策划审核频次。由质量部来负责组织内审计划、实施和报告，但必须得到质量部经理的批准。</w:t>
      </w:r>
    </w:p>
    <w:p w14:paraId="106980A6">
      <w:pPr>
        <w:pStyle w:val="12"/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内审的范围是运维服务涉及的所有部门，包括运维服务的主要实施部门和支持部门。内审要对 GB/T 28827.1-2022 《信息技术服务 运行维护 第 1 部分：通用要求》、GB/T 28827.2-2012 《信息技术服务 运行维护 第 2 部分:交付规范》、GB/T 28827.3-2012 《信息技术服务 运行维护 第 3 部分:应急响应规范》中人员、资源、技术、过程、交付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和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应急响应都进行审核。</w:t>
      </w:r>
    </w:p>
    <w:p w14:paraId="0990B81A">
      <w:pPr>
        <w:pStyle w:val="12"/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内审需要制订内审计划、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内审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检查表，内审员在审核过程中要详细记录审核内容；审核完成后需要对不合格项进行整改；编写内审报告。</w:t>
      </w:r>
    </w:p>
    <w:p w14:paraId="533E2C34">
      <w:pPr>
        <w:pStyle w:val="29"/>
        <w:bidi w:val="0"/>
      </w:pPr>
      <w:bookmarkStart w:id="28" w:name="_Toc21"/>
      <w:r>
        <w:t>管理评审要求</w:t>
      </w:r>
      <w:bookmarkEnd w:id="28"/>
    </w:p>
    <w:p w14:paraId="5C563A67">
      <w:pPr>
        <w:pStyle w:val="12"/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管理评审要求每年必须执行一次，由管理者代表组织实施。</w:t>
      </w:r>
    </w:p>
    <w:p w14:paraId="22072BD6">
      <w:pPr>
        <w:pStyle w:val="12"/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管理评审的参加人员要包括：公司领导、管理者代表、运维部负责人、质量部负责人、综合管理部负责人、研发部负责人等。</w:t>
      </w:r>
    </w:p>
    <w:p w14:paraId="758DFEA9">
      <w:pPr>
        <w:pStyle w:val="12"/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管理评审的主要内容为：年度能力管理计划的实施情况汇报、各项KPI的完成情况、客户满意度调查汇报、各运维部门的工作汇报、运维服务管理体系内审报告、客户投诉报告、持续改进情况等。</w:t>
      </w:r>
    </w:p>
    <w:p w14:paraId="4217DD1C">
      <w:pPr>
        <w:pStyle w:val="12"/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注：管理评审需要先制定管理评审计划，收集相关材料，根据管理评审结果制定管理评审报告，如果在管理评审上发现问题，需要对问题进行跟踪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eastAsia="zh-CN"/>
        </w:rPr>
        <w:t>。</w:t>
      </w:r>
    </w:p>
    <w:sectPr>
      <w:footerReference r:id="rId5" w:type="default"/>
      <w:pgSz w:w="11906" w:h="16839"/>
      <w:pgMar w:top="1431" w:right="1785" w:bottom="1375" w:left="1785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DA4967">
    <w:pPr>
      <w:spacing w:line="167" w:lineRule="auto"/>
      <w:ind w:left="4130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A48F062"/>
    <w:multiLevelType w:val="singleLevel"/>
    <w:tmpl w:val="8A48F062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12EA3C9"/>
    <w:multiLevelType w:val="singleLevel"/>
    <w:tmpl w:val="912EA3C9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9FD0515E"/>
    <w:multiLevelType w:val="singleLevel"/>
    <w:tmpl w:val="9FD0515E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A9A088B4"/>
    <w:multiLevelType w:val="singleLevel"/>
    <w:tmpl w:val="A9A088B4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C1FFCD38"/>
    <w:multiLevelType w:val="singleLevel"/>
    <w:tmpl w:val="C1FFCD38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>
    <w:nsid w:val="C89D55F4"/>
    <w:multiLevelType w:val="singleLevel"/>
    <w:tmpl w:val="C89D55F4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CC099921"/>
    <w:multiLevelType w:val="singleLevel"/>
    <w:tmpl w:val="CC099921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8">
    <w:nsid w:val="D56F7E7D"/>
    <w:multiLevelType w:val="singleLevel"/>
    <w:tmpl w:val="D56F7E7D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9">
    <w:nsid w:val="DDF2EF48"/>
    <w:multiLevelType w:val="singleLevel"/>
    <w:tmpl w:val="DDF2EF48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0">
    <w:nsid w:val="1D21193E"/>
    <w:multiLevelType w:val="singleLevel"/>
    <w:tmpl w:val="1D21193E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1">
    <w:nsid w:val="411E9FD4"/>
    <w:multiLevelType w:val="singleLevel"/>
    <w:tmpl w:val="411E9FD4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2">
    <w:nsid w:val="647020B3"/>
    <w:multiLevelType w:val="singleLevel"/>
    <w:tmpl w:val="647020B3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11"/>
  </w:num>
  <w:num w:numId="3">
    <w:abstractNumId w:val="3"/>
  </w:num>
  <w:num w:numId="4">
    <w:abstractNumId w:val="2"/>
  </w:num>
  <w:num w:numId="5">
    <w:abstractNumId w:val="12"/>
  </w:num>
  <w:num w:numId="6">
    <w:abstractNumId w:val="7"/>
  </w:num>
  <w:num w:numId="7">
    <w:abstractNumId w:val="8"/>
  </w:num>
  <w:num w:numId="8">
    <w:abstractNumId w:val="5"/>
  </w:num>
  <w:num w:numId="9">
    <w:abstractNumId w:val="4"/>
  </w:num>
  <w:num w:numId="10">
    <w:abstractNumId w:val="0"/>
  </w:num>
  <w:num w:numId="11">
    <w:abstractNumId w:val="10"/>
  </w:num>
  <w:num w:numId="12">
    <w:abstractNumId w:val="6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41FD2F74"/>
    <w:rsid w:val="51FC37D6"/>
    <w:rsid w:val="528D20F2"/>
    <w:rsid w:val="5FB35537"/>
    <w:rsid w:val="63807109"/>
    <w:rsid w:val="6FAA6D2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link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柴_标题2 Char"/>
    <w:link w:val="28"/>
    <w:qFormat/>
    <w:uiPriority w:val="0"/>
    <w:rPr>
      <w:rFonts w:ascii="Arial" w:hAnsi="Arial" w:eastAsia="宋体"/>
      <w:sz w:val="28"/>
    </w:rPr>
  </w:style>
  <w:style w:type="paragraph" w:customStyle="1" w:styleId="32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9</Pages>
  <Words>3282</Words>
  <Characters>3489</Characters>
  <Lines>0</Lines>
  <Paragraphs>0</Paragraphs>
  <TotalTime>0</TotalTime>
  <ScaleCrop>false</ScaleCrop>
  <LinksUpToDate>false</LinksUpToDate>
  <CharactersWithSpaces>3687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2025-08-18T17:56:00Z</dcterms:created>
  <dc:creator>谢永刚</dc:creator>
  <cp:lastModifiedBy>郝宇</cp:lastModifiedBy>
  <dcterms:modified xsi:type="dcterms:W3CDTF">2026-01-30T14:00:07Z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2025-08-20T23:54:01Z</vt:filetime>
  </property>
  <property fmtid="{D5CDD505-2E9C-101B-9397-08002B2CF9AE}" pid="3" name="CRO">
    <vt:lpwstr>wqlLaW5nc29mdCBQREYgdG8gV1BTIDExNQ</vt:lpwstr>
  </property>
  <property fmtid="{D5CDD505-2E9C-101B-9397-08002B2CF9AE}" pid="4" name="ICV">
    <vt:lpwstr>F06448E82D154202B687D38C6E206337_12</vt:lpwstr>
  </property>
  <property fmtid="{D5CDD505-2E9C-101B-9397-08002B2CF9AE}" pid="5" name="KSOProductBuildVer">
    <vt:lpwstr>2052-12.1.0.24657</vt:lpwstr>
  </property>
  <property fmtid="{D5CDD505-2E9C-101B-9397-08002B2CF9AE}" pid="6" name="KSOTemplateDocerSaveRecord">
    <vt:lpwstr>eyJoZGlkIjoiZWI4NmUzMGY2ODA3MDc4ZTFlMjZjZTAyMjM0NmVmODgiLCJ1c2VySWQiOiIxMDc1MzgyOSJ9</vt:lpwstr>
  </property>
</Properties>
</file>