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51207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58B6CE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8298"/>
      <w:r>
        <w:t>客户投诉应对及处理管理规定</w:t>
      </w:r>
      <w:bookmarkEnd w:id="0"/>
    </w:p>
    <w:p w14:paraId="7E7374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9" w:lineRule="auto"/>
        <w:textAlignment w:val="baseline"/>
      </w:pPr>
    </w:p>
    <w:p w14:paraId="0B0AE2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1361"/>
      <w:r>
        <w:t>中达丰集团有限公司</w:t>
      </w:r>
      <w:bookmarkEnd w:id="1"/>
    </w:p>
    <w:p w14:paraId="0221503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60060F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4B4B503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900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5ED3BB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61BB16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100F60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客户投诉应对及处理管理规定（ZDFJT-IT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SS-KHTSYDJCL）</w:t>
            </w:r>
          </w:p>
        </w:tc>
      </w:tr>
      <w:tr w14:paraId="275D7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BDFF2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4B258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50F278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52084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2582C4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367F1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7B8B8D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3C8970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2DA592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CB8E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197B9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5F55E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5D119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05392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3F6D01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AA114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AA768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23C6F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16398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4A42F5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71161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0629B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29BA4B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74D08D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D6EC27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22EF0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6E8A1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3453B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34CFA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7B1481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0098E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E4B815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5878A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35B6A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DD8821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A96FF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AD546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03D61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C4E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2D48E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24F99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3FA2BC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23139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825983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1D4815C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C13E16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3898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9E045D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09DC6D24">
          <w:pPr>
            <w:pStyle w:val="16"/>
            <w:tabs>
              <w:tab w:val="right" w:leader="dot" w:pos="8497"/>
            </w:tabs>
          </w:pPr>
          <w:bookmarkStart w:id="18" w:name="_GoBack"/>
          <w:bookmarkEnd w:id="18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_Toc28298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客户投诉应对及处理管理规定</w:t>
          </w:r>
          <w:r>
            <w:tab/>
          </w:r>
          <w:r>
            <w:fldChar w:fldCharType="begin"/>
          </w:r>
          <w:r>
            <w:instrText xml:space="preserve"> PAGEREF _Toc28298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D27F5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_Toc31361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_Toc31361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2C0939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_Toc9002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_Toc9002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F1478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_Toc5555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_Toc5555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A4DE2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_Toc16892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_Toc16892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1CDCC7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_Toc5410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_Toc5410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2BFD440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_Toc10398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_Toc10398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9AD5D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_Toc18576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_Toc18576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B10740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_Toc5627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投诉的定义</w:t>
          </w:r>
          <w:r>
            <w:tab/>
          </w:r>
          <w:r>
            <w:fldChar w:fldCharType="begin"/>
          </w:r>
          <w:r>
            <w:instrText xml:space="preserve"> PAGEREF _Toc5627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E6945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_Toc12450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产生投诉的因素</w:t>
          </w:r>
          <w:r>
            <w:tab/>
          </w:r>
          <w:r>
            <w:fldChar w:fldCharType="begin"/>
          </w:r>
          <w:r>
            <w:instrText xml:space="preserve"> PAGEREF _Toc12450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C18E60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_Toc30695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投诉的影响</w:t>
          </w:r>
          <w:r>
            <w:tab/>
          </w:r>
          <w:r>
            <w:fldChar w:fldCharType="begin"/>
          </w:r>
          <w:r>
            <w:instrText xml:space="preserve"> PAGEREF _Toc30695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D13BA2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_Toc15513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客户投诉应对目的</w:t>
          </w:r>
          <w:r>
            <w:tab/>
          </w:r>
          <w:r>
            <w:fldChar w:fldCharType="begin"/>
          </w:r>
          <w:r>
            <w:instrText xml:space="preserve"> PAGEREF _Toc15513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045A4D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_Toc15984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投诉级别</w:t>
          </w:r>
          <w:r>
            <w:tab/>
          </w:r>
          <w:r>
            <w:fldChar w:fldCharType="begin"/>
          </w:r>
          <w:r>
            <w:instrText xml:space="preserve"> PAGEREF _Toc15984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29D6D2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_Toc10965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客户投诉应对及处理的注意事项</w:t>
          </w:r>
          <w:r>
            <w:tab/>
          </w:r>
          <w:r>
            <w:fldChar w:fldCharType="begin"/>
          </w:r>
          <w:r>
            <w:instrText xml:space="preserve"> PAGEREF _Toc10965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C4E7E1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_Toc10969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客户投诉处罚规定</w:t>
          </w:r>
          <w:r>
            <w:tab/>
          </w:r>
          <w:r>
            <w:fldChar w:fldCharType="begin"/>
          </w:r>
          <w:r>
            <w:instrText xml:space="preserve"> PAGEREF _Toc10969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DAF6D6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_Toc19047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13.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_Toc19047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7779D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_Toc32608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_Toc32608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C5F62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E5F73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79CB22C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5555"/>
      <w:r>
        <w:t>目的</w:t>
      </w:r>
      <w:bookmarkEnd w:id="3"/>
    </w:p>
    <w:p w14:paraId="49738B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eastAsia="宋体" w:cs="宋体"/>
          <w:spacing w:val="-5"/>
          <w:sz w:val="24"/>
          <w:szCs w:val="24"/>
        </w:rPr>
        <w:t>内容和要求，特制定此管理规定。</w:t>
      </w:r>
    </w:p>
    <w:p w14:paraId="285063C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6892"/>
      <w:r>
        <w:t>适用范围</w:t>
      </w:r>
      <w:bookmarkEnd w:id="4"/>
    </w:p>
    <w:p w14:paraId="37AC2D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460" w:firstLineChars="200"/>
        <w:textAlignment w:val="baseline"/>
        <w:rPr>
          <w:rFonts w:ascii="宋体" w:hAnsi="宋体" w:eastAsia="宋体" w:cs="宋体"/>
          <w:spacing w:val="-5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本手册适用于本公司参与运维服务业务的部门和人员</w:t>
      </w:r>
    </w:p>
    <w:p w14:paraId="7EA916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5410"/>
      <w:r>
        <w:t>引用文件</w:t>
      </w:r>
      <w:bookmarkEnd w:id="5"/>
    </w:p>
    <w:p w14:paraId="614739B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0A5A69F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1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部分：通用要求》</w:t>
      </w:r>
    </w:p>
    <w:p w14:paraId="535E3A4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GB/T 29264-2012 《信息技术服务 分类与代码》</w:t>
      </w:r>
    </w:p>
    <w:p w14:paraId="35BE8766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国家有关法律、法规及行业标准</w:t>
      </w:r>
    </w:p>
    <w:p w14:paraId="7492429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 xml:space="preserve"> </w:t>
      </w:r>
      <w:bookmarkStart w:id="6" w:name="_Toc10398"/>
      <w:r>
        <w:t>术语与定义</w:t>
      </w:r>
      <w:bookmarkEnd w:id="6"/>
    </w:p>
    <w:p w14:paraId="29A084D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9" w:line="220" w:lineRule="auto"/>
        <w:ind w:left="72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5DBDB3B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8576"/>
      <w:r>
        <w:t>角色与职责</w:t>
      </w:r>
      <w:bookmarkEnd w:id="7"/>
    </w:p>
    <w:p w14:paraId="4184C8F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3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422"/>
        <w:gridCol w:w="3257"/>
      </w:tblGrid>
      <w:tr w14:paraId="095F4F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7E7AEC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422" w:type="dxa"/>
            <w:shd w:val="clear" w:color="auto" w:fill="BFBFBF"/>
          </w:tcPr>
          <w:p w14:paraId="6A741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1" w:lineRule="auto"/>
              <w:ind w:left="100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257" w:type="dxa"/>
            <w:shd w:val="clear" w:color="auto" w:fill="BFBFBF"/>
          </w:tcPr>
          <w:p w14:paraId="7D134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right="2"/>
              <w:jc w:val="right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2958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61E768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422" w:type="dxa"/>
          </w:tcPr>
          <w:p w14:paraId="179146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257" w:type="dxa"/>
          </w:tcPr>
          <w:p w14:paraId="711910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004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31664C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0F5435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2422" w:type="dxa"/>
          </w:tcPr>
          <w:p w14:paraId="18DB17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257" w:type="dxa"/>
          </w:tcPr>
          <w:p w14:paraId="2EEB5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6EE9BF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1A99A6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1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2422" w:type="dxa"/>
          </w:tcPr>
          <w:p w14:paraId="36C4B7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257" w:type="dxa"/>
          </w:tcPr>
          <w:p w14:paraId="2707E4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32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1A33AE1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28" w:lineRule="auto"/>
        <w:textAlignment w:val="baseline"/>
      </w:pPr>
    </w:p>
    <w:p w14:paraId="728B94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5627"/>
      <w:r>
        <w:t>投诉的定义</w:t>
      </w:r>
      <w:bookmarkEnd w:id="8"/>
    </w:p>
    <w:p w14:paraId="69F020B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投诉就是客户对提供的服务等产生不满而引起的抱怨；即客户的期待和现实之间产生的差距。</w:t>
      </w:r>
    </w:p>
    <w:p w14:paraId="6614F41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表象：客户对服务的不满意和责难；本质：客户对企业信赖度与期待度的体现，也就是企业的弱点所在。</w:t>
      </w:r>
    </w:p>
    <w:p w14:paraId="59A5B99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2450"/>
      <w:r>
        <w:t>产生投诉的因素</w:t>
      </w:r>
      <w:bookmarkEnd w:id="9"/>
    </w:p>
    <w:p w14:paraId="4AAD2AB0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对服务的不满意</w:t>
      </w:r>
    </w:p>
    <w:p w14:paraId="63E9C78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对服务态度方式的不满意</w:t>
      </w:r>
    </w:p>
    <w:p w14:paraId="7F528C8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30695"/>
      <w:r>
        <w:t>投诉的影响</w:t>
      </w:r>
      <w:bookmarkEnd w:id="10"/>
    </w:p>
    <w:p w14:paraId="6BA5AF63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客户投诉未能及时妥善的处理，会导致客户抱怨升级和流失</w:t>
      </w:r>
    </w:p>
    <w:p w14:paraId="77B0A60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不满客户会把他对公司的不满扩大，告诉他周围的朋友，同时影响公司声誉无形中失去潜在客户</w:t>
      </w:r>
    </w:p>
    <w:p w14:paraId="65445BC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5513"/>
      <w:r>
        <w:t>客户投诉应对目的</w:t>
      </w:r>
      <w:bookmarkEnd w:id="11"/>
    </w:p>
    <w:p w14:paraId="3E330E40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及时有效的响应客户的投诉需求</w:t>
      </w:r>
    </w:p>
    <w:p w14:paraId="7F533A41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避免引起严重的纠纷及恶性事件（涉及赔偿金额较大、安全性能及第三方介入）；</w:t>
      </w:r>
    </w:p>
    <w:p w14:paraId="73561286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使客户投诉处理统一标准化、流程化、口径一致，提高处理客户投诉的时效性；</w:t>
      </w:r>
    </w:p>
    <w:p w14:paraId="580BF7D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高度重视客户投诉，谨慎的处理客户投诉，降低客户投诉率，达到让投诉的客户再度满意；</w:t>
      </w:r>
    </w:p>
    <w:p w14:paraId="0183F633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重新赢得客户的对公司信任，减少客户的流失，增强企业的服务品牌；</w:t>
      </w:r>
    </w:p>
    <w:p w14:paraId="2D19B59E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提供全体员工的市场意识，客户的流失就是资源的浪费；</w:t>
      </w:r>
    </w:p>
    <w:p w14:paraId="6ABD05D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5984"/>
      <w:r>
        <w:t>投诉级别</w:t>
      </w:r>
      <w:bookmarkEnd w:id="12"/>
    </w:p>
    <w:p w14:paraId="6939B274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特急（A 类）指在接到《客户投诉处理表》或电话通知后，应在 3 小时内出具处理方案的特殊情况；</w:t>
      </w:r>
    </w:p>
    <w:p w14:paraId="1E2CA4D0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紧急（B 类）指在接到本表或电话通知后，应在 12 小时内出具处理方案的情况</w:t>
      </w:r>
    </w:p>
    <w:p w14:paraId="7F9E8CBA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一般（C 类）指在接到本表或电话通知后，应在 3 天内出具处理方案的情况</w:t>
      </w:r>
    </w:p>
    <w:p w14:paraId="4E461E7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0965"/>
      <w:r>
        <w:t>客户投诉应对及处理的注意事项</w:t>
      </w:r>
      <w:bookmarkEnd w:id="13"/>
    </w:p>
    <w:p w14:paraId="05C6F8D0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客户投诉处理负责人不得随意承诺客户做不到的，承诺了必须兑现；</w:t>
      </w:r>
    </w:p>
    <w:p w14:paraId="25D57C51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出现客户投诉时，按公司统一的投诉受理流程及投诉处理流程进行，实施逐层上报处理，遇到重大投诉需第一时间汇报给公司最高责任人，必要时请厂家给予支持；</w:t>
      </w:r>
    </w:p>
    <w:p w14:paraId="35140FB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对于客户提出的不合理的要求，要坚持立场和原则进行适当的回绝；</w:t>
      </w:r>
    </w:p>
    <w:p w14:paraId="7AF35EAF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处理客户投诉责任人，对外必须统一口径，使用标准话术，针对不同的客户投诉采取适当的处理方法；</w:t>
      </w:r>
    </w:p>
    <w:p w14:paraId="68FEA366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遇到重大客户投诉时，须由专人负责应对客户的投诉，各部门经理是应对重大客户投诉的第一负责人，统一口径，其他人不得随意主动和客户联系或发表言论；</w:t>
      </w:r>
    </w:p>
    <w:p w14:paraId="0FB7911E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受理客户投诉，任何人不得向外推托，需重视客户投诉，优先解决处理；</w:t>
      </w:r>
    </w:p>
    <w:p w14:paraId="6E45A32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处理客户投诉时，态度主动，积极推进；</w:t>
      </w:r>
    </w:p>
    <w:p w14:paraId="4EB7A256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处理客户投诉不是最终目的，通过客户投诉的处理提出今后工作改善的方向及预防措施，不断提高服务质量；</w:t>
      </w:r>
    </w:p>
    <w:p w14:paraId="37E7AC5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定期分析客户投诉，组织人员召开案例分析大会，总结经验教训，防止问题再次出现；</w:t>
      </w:r>
    </w:p>
    <w:p w14:paraId="38E38FA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重大投诉客户资料需要特殊处理。</w:t>
      </w:r>
    </w:p>
    <w:p w14:paraId="11149C1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bookmark1"/>
      <w:bookmarkEnd w:id="14"/>
      <w:bookmarkStart w:id="15" w:name="_Toc10969"/>
      <w:r>
        <w:t>客户投诉处罚规定</w:t>
      </w:r>
      <w:bookmarkEnd w:id="15"/>
    </w:p>
    <w:p w14:paraId="763C232B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客户来电或回访过程中产生投诉的，经过调查分析属于有效投诉的，判定责任人后，给予责任人月度/季度考核中进行减分；</w:t>
      </w:r>
    </w:p>
    <w:p w14:paraId="152B12AD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部门经理在接到客户投诉单后，必须按照投诉级别的时间规定进行处理，若未及时处理的投诉单，给予部门经理季度考核中进行减分；</w:t>
      </w:r>
    </w:p>
    <w:p w14:paraId="37769E0E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经过调查分析，判别属于有效客户投诉的，由服务台负责开具罚款单，由部门经理签字确认、当事人签字确认后，责任人按照处罚单金额交现金给服务台，服务台将投诉处罚单及处罚金全部上交公司财务。</w:t>
      </w:r>
    </w:p>
    <w:p w14:paraId="59AB3E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9047"/>
      <w:r>
        <w:t>相关文档</w:t>
      </w:r>
      <w:bookmarkEnd w:id="16"/>
    </w:p>
    <w:p w14:paraId="3FAA9E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无</w:t>
      </w:r>
    </w:p>
    <w:p w14:paraId="259974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32608"/>
      <w:r>
        <w:t>附则</w:t>
      </w:r>
      <w:bookmarkEnd w:id="17"/>
    </w:p>
    <w:p w14:paraId="7E3B4F5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639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B2B4FC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06D78"/>
    <w:multiLevelType w:val="singleLevel"/>
    <w:tmpl w:val="9BE06D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9CE810F1"/>
    <w:multiLevelType w:val="singleLevel"/>
    <w:tmpl w:val="9CE810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ACA3EF55"/>
    <w:multiLevelType w:val="singleLevel"/>
    <w:tmpl w:val="ACA3EF5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DADE8EA"/>
    <w:multiLevelType w:val="singleLevel"/>
    <w:tmpl w:val="ADADE8E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01D3CBF1"/>
    <w:multiLevelType w:val="singleLevel"/>
    <w:tmpl w:val="01D3CB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1BD786F8"/>
    <w:multiLevelType w:val="singleLevel"/>
    <w:tmpl w:val="1BD786F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2E9ECED5"/>
    <w:multiLevelType w:val="singleLevel"/>
    <w:tmpl w:val="2E9ECED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4CF9BA25"/>
    <w:multiLevelType w:val="singleLevel"/>
    <w:tmpl w:val="4CF9BA2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7"/>
  </w:num>
  <w:num w:numId="6">
    <w:abstractNumId w:val="4"/>
  </w:num>
  <w:num w:numId="7">
    <w:abstractNumId w:val="2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9BF751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1608</Words>
  <Characters>1697</Characters>
  <Lines>0</Lines>
  <Paragraphs>0</Paragraphs>
  <TotalTime>0</TotalTime>
  <ScaleCrop>false</ScaleCrop>
  <LinksUpToDate>false</LinksUpToDate>
  <CharactersWithSpaces>1784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2025-08-18T18:01:00Z</dcterms:created>
  <dc:creator>谢永刚</dc:creator>
  <cp:lastModifiedBy>郝宇</cp:lastModifiedBy>
  <dcterms:modified xsi:type="dcterms:W3CDTF">2026-01-30T14:01:58Z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2025-08-21T00:01:28Z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50B138F8D0FC4B05BB76469D4DD7DCD1_12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