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05AC32">
      <w:pPr>
        <w:pStyle w:val="31"/>
        <w:bidi w:val="0"/>
      </w:pPr>
    </w:p>
    <w:p w14:paraId="2D37EB85">
      <w:pPr>
        <w:pStyle w:val="31"/>
        <w:bidi w:val="0"/>
      </w:pPr>
      <w:bookmarkStart w:id="0" w:name="_Toc15163"/>
      <w:r>
        <w:t>管理评审报告</w:t>
      </w:r>
      <w:bookmarkEnd w:id="0"/>
    </w:p>
    <w:p w14:paraId="42A59192">
      <w:pPr>
        <w:pStyle w:val="32"/>
        <w:bidi w:val="0"/>
      </w:pPr>
      <w:bookmarkStart w:id="1" w:name="_Toc4318"/>
      <w:r>
        <w:t>中达丰集团有限公司</w:t>
      </w:r>
      <w:bookmarkEnd w:id="1"/>
    </w:p>
    <w:p w14:paraId="73882953">
      <w:pPr>
        <w:spacing w:before="117" w:line="219" w:lineRule="auto"/>
        <w:ind w:left="0" w:leftChars="0" w:right="0" w:rightChars="0" w:firstLine="0" w:firstLineChars="0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2025年1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月2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0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日</w:t>
      </w:r>
    </w:p>
    <w:p w14:paraId="4A402FE4">
      <w:pPr>
        <w:spacing w:line="219" w:lineRule="auto"/>
        <w:rPr>
          <w:rFonts w:ascii="宋体" w:hAnsi="宋体" w:eastAsia="宋体" w:cs="宋体"/>
          <w:sz w:val="36"/>
          <w:szCs w:val="36"/>
        </w:rPr>
        <w:sectPr>
          <w:headerReference r:id="rId5" w:type="default"/>
          <w:footerReference r:id="rId6" w:type="default"/>
          <w:pgSz w:w="11906" w:h="16839"/>
          <w:pgMar w:top="1105" w:right="1151" w:bottom="1360" w:left="1672" w:header="1090" w:footer="1344" w:gutter="0"/>
          <w:cols w:space="720" w:num="1"/>
        </w:sectPr>
      </w:pPr>
    </w:p>
    <w:p w14:paraId="024E3FE5">
      <w:pPr>
        <w:spacing w:before="91" w:line="220" w:lineRule="auto"/>
        <w:ind w:left="3811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31670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1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4"/>
        <w:gridCol w:w="1697"/>
        <w:gridCol w:w="2342"/>
        <w:gridCol w:w="1983"/>
        <w:gridCol w:w="1564"/>
      </w:tblGrid>
      <w:tr w14:paraId="47DBB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  <w:jc w:val="center"/>
        </w:trPr>
        <w:tc>
          <w:tcPr>
            <w:tcW w:w="1564" w:type="dxa"/>
            <w:vAlign w:val="center"/>
          </w:tcPr>
          <w:p w14:paraId="04E65678">
            <w:pPr>
              <w:pStyle w:val="25"/>
              <w:spacing w:before="125" w:line="325" w:lineRule="auto"/>
              <w:ind w:right="251"/>
            </w:pPr>
            <w:r>
              <w:rPr>
                <w:spacing w:val="-3"/>
              </w:rPr>
              <w:t>文档名称编</w:t>
            </w:r>
            <w:r>
              <w:t>号</w:t>
            </w:r>
          </w:p>
        </w:tc>
        <w:tc>
          <w:tcPr>
            <w:tcW w:w="7586" w:type="dxa"/>
            <w:gridSpan w:val="4"/>
            <w:vAlign w:val="center"/>
          </w:tcPr>
          <w:p w14:paraId="04EA6355">
            <w:pPr>
              <w:pStyle w:val="25"/>
              <w:spacing w:before="78" w:line="218" w:lineRule="auto"/>
              <w:ind w:left="115"/>
            </w:pPr>
            <w:r>
              <w:rPr>
                <w:spacing w:val="-1"/>
              </w:rPr>
              <w:t>管理评审报告（ZDFJT-ITSS-GLPSBG）</w:t>
            </w:r>
          </w:p>
        </w:tc>
      </w:tr>
      <w:tr w14:paraId="65DEDC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57B5FC64">
            <w:pPr>
              <w:pStyle w:val="25"/>
              <w:spacing w:before="182" w:line="220" w:lineRule="auto"/>
              <w:ind w:left="114"/>
            </w:pPr>
            <w:r>
              <w:rPr>
                <w:spacing w:val="-3"/>
              </w:rPr>
              <w:t>编制单位</w:t>
            </w:r>
          </w:p>
        </w:tc>
        <w:tc>
          <w:tcPr>
            <w:tcW w:w="7586" w:type="dxa"/>
            <w:gridSpan w:val="4"/>
            <w:vAlign w:val="center"/>
          </w:tcPr>
          <w:p w14:paraId="4F6DB65F">
            <w:pPr>
              <w:pStyle w:val="25"/>
              <w:spacing w:before="182" w:line="219" w:lineRule="auto"/>
              <w:ind w:left="109"/>
            </w:pPr>
            <w:r>
              <w:rPr>
                <w:spacing w:val="-1"/>
              </w:rPr>
              <w:t>中达丰集团有限公司</w:t>
            </w:r>
          </w:p>
        </w:tc>
      </w:tr>
      <w:tr w14:paraId="35AA2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1BC7E7C4">
            <w:pPr>
              <w:pStyle w:val="25"/>
              <w:spacing w:before="184" w:line="220" w:lineRule="auto"/>
              <w:ind w:left="114"/>
            </w:pPr>
            <w:r>
              <w:rPr>
                <w:spacing w:val="-3"/>
              </w:rPr>
              <w:t>文档密级</w:t>
            </w:r>
          </w:p>
        </w:tc>
        <w:tc>
          <w:tcPr>
            <w:tcW w:w="7586" w:type="dxa"/>
            <w:gridSpan w:val="4"/>
            <w:vAlign w:val="center"/>
          </w:tcPr>
          <w:p w14:paraId="741B3299">
            <w:pPr>
              <w:pStyle w:val="25"/>
              <w:spacing w:before="184" w:line="220" w:lineRule="auto"/>
              <w:ind w:left="108"/>
            </w:pPr>
            <w:r>
              <w:rPr>
                <w:spacing w:val="-3"/>
              </w:rPr>
              <w:t>秘密</w:t>
            </w:r>
          </w:p>
        </w:tc>
      </w:tr>
      <w:tr w14:paraId="1C37FF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3BE3C64D">
            <w:pPr>
              <w:pStyle w:val="25"/>
              <w:spacing w:before="186" w:line="219" w:lineRule="auto"/>
              <w:ind w:left="306"/>
            </w:pPr>
            <w:r>
              <w:rPr>
                <w:spacing w:val="-3"/>
              </w:rPr>
              <w:t>文档版本</w:t>
            </w:r>
          </w:p>
        </w:tc>
        <w:tc>
          <w:tcPr>
            <w:tcW w:w="1697" w:type="dxa"/>
            <w:vAlign w:val="center"/>
          </w:tcPr>
          <w:p w14:paraId="6B5B716B">
            <w:pPr>
              <w:pStyle w:val="25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2" w:type="dxa"/>
            <w:vAlign w:val="center"/>
          </w:tcPr>
          <w:p w14:paraId="157892BB">
            <w:pPr>
              <w:pStyle w:val="25"/>
              <w:spacing w:before="186" w:line="219" w:lineRule="auto"/>
              <w:ind w:left="696"/>
            </w:pPr>
            <w:r>
              <w:rPr>
                <w:spacing w:val="-2"/>
              </w:rPr>
              <w:t>版本说明</w:t>
            </w:r>
          </w:p>
        </w:tc>
        <w:tc>
          <w:tcPr>
            <w:tcW w:w="1983" w:type="dxa"/>
            <w:vAlign w:val="center"/>
          </w:tcPr>
          <w:p w14:paraId="0ABEE55C">
            <w:pPr>
              <w:pStyle w:val="25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4" w:type="dxa"/>
            <w:vAlign w:val="center"/>
          </w:tcPr>
          <w:p w14:paraId="6618668F">
            <w:pPr>
              <w:pStyle w:val="25"/>
              <w:spacing w:before="187" w:line="220" w:lineRule="auto"/>
              <w:ind w:left="560"/>
            </w:pPr>
            <w:r>
              <w:rPr>
                <w:spacing w:val="-6"/>
              </w:rPr>
              <w:t>审核</w:t>
            </w:r>
          </w:p>
        </w:tc>
      </w:tr>
      <w:tr w14:paraId="116F89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1564" w:type="dxa"/>
            <w:vAlign w:val="center"/>
          </w:tcPr>
          <w:p w14:paraId="7DFC41B4">
            <w:pPr>
              <w:pStyle w:val="25"/>
              <w:spacing w:before="162" w:line="239" w:lineRule="auto"/>
              <w:ind w:left="539"/>
            </w:pPr>
            <w:r>
              <w:rPr>
                <w:spacing w:val="-1"/>
              </w:rPr>
              <w:t>V1.0</w:t>
            </w:r>
          </w:p>
        </w:tc>
        <w:tc>
          <w:tcPr>
            <w:tcW w:w="1697" w:type="dxa"/>
            <w:vAlign w:val="center"/>
          </w:tcPr>
          <w:p w14:paraId="736BFA3F">
            <w:pPr>
              <w:pStyle w:val="25"/>
              <w:spacing w:before="162"/>
              <w:ind w:left="313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342" w:type="dxa"/>
            <w:vAlign w:val="center"/>
          </w:tcPr>
          <w:p w14:paraId="0936AA83">
            <w:pPr>
              <w:pStyle w:val="25"/>
              <w:spacing w:before="128" w:line="219" w:lineRule="auto"/>
              <w:ind w:left="699"/>
            </w:pPr>
            <w:r>
              <w:rPr>
                <w:spacing w:val="-3"/>
              </w:rPr>
              <w:t>发布版本</w:t>
            </w:r>
          </w:p>
        </w:tc>
        <w:tc>
          <w:tcPr>
            <w:tcW w:w="1983" w:type="dxa"/>
            <w:vAlign w:val="center"/>
          </w:tcPr>
          <w:p w14:paraId="4588B566">
            <w:pPr>
              <w:pStyle w:val="25"/>
              <w:spacing w:before="128" w:line="220" w:lineRule="auto"/>
              <w:ind w:left="639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4" w:type="dxa"/>
            <w:vAlign w:val="center"/>
          </w:tcPr>
          <w:p w14:paraId="56DE9CC3">
            <w:pPr>
              <w:pStyle w:val="25"/>
              <w:spacing w:before="128" w:line="220" w:lineRule="auto"/>
              <w:ind w:left="433"/>
            </w:pPr>
            <w:r>
              <w:rPr>
                <w:spacing w:val="-4"/>
              </w:rPr>
              <w:t>吴向阳</w:t>
            </w:r>
          </w:p>
        </w:tc>
      </w:tr>
      <w:tr w14:paraId="28670B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564" w:type="dxa"/>
          </w:tcPr>
          <w:p w14:paraId="45BD5B46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 w14:paraId="5C2B6C05"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 w14:paraId="3842DEFB"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 w14:paraId="069DBD32"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 w14:paraId="5FC5B877">
            <w:pPr>
              <w:rPr>
                <w:rFonts w:ascii="Arial"/>
                <w:sz w:val="21"/>
              </w:rPr>
            </w:pPr>
          </w:p>
        </w:tc>
      </w:tr>
      <w:tr w14:paraId="06C03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564" w:type="dxa"/>
          </w:tcPr>
          <w:p w14:paraId="30F04D90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 w14:paraId="133ED06E"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 w14:paraId="1C828FB7"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 w14:paraId="716D471C"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 w14:paraId="1432EA54">
            <w:pPr>
              <w:rPr>
                <w:rFonts w:ascii="Arial"/>
                <w:sz w:val="21"/>
              </w:rPr>
            </w:pPr>
          </w:p>
        </w:tc>
      </w:tr>
    </w:tbl>
    <w:p w14:paraId="400CCC83">
      <w:pPr>
        <w:pStyle w:val="12"/>
      </w:pPr>
    </w:p>
    <w:p w14:paraId="1F400D1F">
      <w:pPr>
        <w:sectPr>
          <w:headerReference r:id="rId7" w:type="default"/>
          <w:footerReference r:id="rId8" w:type="default"/>
          <w:pgSz w:w="11906" w:h="16839"/>
          <w:pgMar w:top="400" w:right="1150" w:bottom="1233" w:left="1595" w:header="0" w:footer="107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89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C171B3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95362B2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_Toc15163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管理评审报告</w:t>
          </w:r>
          <w:r>
            <w:tab/>
          </w:r>
          <w:r>
            <w:fldChar w:fldCharType="begin"/>
          </w:r>
          <w:r>
            <w:instrText xml:space="preserve"> PAGEREF _Toc15163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F5B9F7E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_Toc4318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_Toc4318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F510653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_Toc31670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_Toc31670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4442E3C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_Toc18011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审核目的</w:t>
          </w:r>
          <w:r>
            <w:tab/>
          </w:r>
          <w:r>
            <w:fldChar w:fldCharType="begin"/>
          </w:r>
          <w:r>
            <w:instrText xml:space="preserve"> PAGEREF _Toc18011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C9D572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_Toc6548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审核依据</w:t>
          </w:r>
          <w:r>
            <w:tab/>
          </w:r>
          <w:r>
            <w:fldChar w:fldCharType="begin"/>
          </w:r>
          <w:r>
            <w:instrText xml:space="preserve"> PAGEREF _Toc6548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2A9B346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_Toc18529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参会人员</w:t>
          </w:r>
          <w:r>
            <w:tab/>
          </w:r>
          <w:r>
            <w:fldChar w:fldCharType="begin"/>
          </w:r>
          <w:r>
            <w:instrText xml:space="preserve"> PAGEREF _Toc18529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CB2F53F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_Toc15552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评审主要步骤</w:t>
          </w:r>
          <w:r>
            <w:tab/>
          </w:r>
          <w:r>
            <w:fldChar w:fldCharType="begin"/>
          </w:r>
          <w:r>
            <w:instrText xml:space="preserve"> PAGEREF _Toc15552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A7F7D60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_Toc11970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评审内容</w:t>
          </w:r>
          <w:r>
            <w:tab/>
          </w:r>
          <w:r>
            <w:fldChar w:fldCharType="begin"/>
          </w:r>
          <w:r>
            <w:instrText xml:space="preserve"> PAGEREF _Toc11970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8CFDE77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_Toc14094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评审结论</w:t>
          </w:r>
          <w:r>
            <w:tab/>
          </w:r>
          <w:r>
            <w:fldChar w:fldCharType="begin"/>
          </w:r>
          <w:r>
            <w:instrText xml:space="preserve"> PAGEREF _Toc14094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1117F8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_Toc24610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运维能力体系运行的适宜性、有效性评审</w:t>
          </w:r>
          <w:r>
            <w:tab/>
          </w:r>
          <w:r>
            <w:fldChar w:fldCharType="begin"/>
          </w:r>
          <w:r>
            <w:instrText xml:space="preserve"> PAGEREF _Toc24610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27C912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_Toc18476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2025年质量内部审核评审</w:t>
          </w:r>
          <w:r>
            <w:tab/>
          </w:r>
          <w:r>
            <w:fldChar w:fldCharType="begin"/>
          </w:r>
          <w:r>
            <w:instrText xml:space="preserve"> PAGEREF _Toc18476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32400A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_Toc10922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满意度调查评审</w:t>
          </w:r>
          <w:r>
            <w:tab/>
          </w:r>
          <w:r>
            <w:fldChar w:fldCharType="begin"/>
          </w:r>
          <w:r>
            <w:instrText xml:space="preserve"> PAGEREF _Toc10922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FC62406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_Toc9737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客户投诉情况评审</w:t>
          </w:r>
          <w:r>
            <w:tab/>
          </w:r>
          <w:r>
            <w:fldChar w:fldCharType="begin"/>
          </w:r>
          <w:r>
            <w:instrText xml:space="preserve"> PAGEREF _Toc9737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FFBFDB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_Toc13137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结论</w:t>
          </w:r>
          <w:r>
            <w:tab/>
          </w:r>
          <w:r>
            <w:fldChar w:fldCharType="begin"/>
          </w:r>
          <w:r>
            <w:instrText xml:space="preserve"> PAGEREF _Toc13137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A4F7647">
          <w:pPr>
            <w:spacing w:line="220" w:lineRule="auto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20384BB">
      <w:pPr>
        <w:spacing w:line="220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9" w:type="default"/>
          <w:pgSz w:w="11906" w:h="16839"/>
          <w:pgMar w:top="1040" w:right="1710" w:bottom="1234" w:left="1709" w:header="0" w:footer="1070" w:gutter="0"/>
          <w:cols w:space="720" w:num="1"/>
        </w:sectPr>
      </w:pPr>
    </w:p>
    <w:p w14:paraId="63189A09">
      <w:pPr>
        <w:pStyle w:val="26"/>
        <w:bidi w:val="0"/>
      </w:pPr>
      <w:bookmarkStart w:id="3" w:name="_Toc18011"/>
      <w:r>
        <w:t>审核目的</w:t>
      </w:r>
      <w:bookmarkEnd w:id="3"/>
    </w:p>
    <w:p w14:paraId="5E676CC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对公司运维能力体系运行现状进行评审，评价其持续的适宜性和有效性。</w:t>
      </w:r>
    </w:p>
    <w:p w14:paraId="18FC514D">
      <w:pPr>
        <w:pStyle w:val="26"/>
        <w:bidi w:val="0"/>
      </w:pPr>
      <w:bookmarkStart w:id="4" w:name="_Toc6548"/>
      <w:r>
        <w:t>审核依据</w:t>
      </w:r>
      <w:bookmarkEnd w:id="4"/>
    </w:p>
    <w:p w14:paraId="666D4D2A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T/CESA 1299—2023《信息技术服务 运行维护服务能力成熟度模型》</w:t>
      </w:r>
    </w:p>
    <w:p w14:paraId="493A975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28827.1-20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2《信息技术服务 运行维护 第 1 部分：通用要求》</w:t>
      </w:r>
    </w:p>
    <w:p w14:paraId="656C9C0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29264-2012 《信息技术服务 分类与代码》</w:t>
      </w:r>
    </w:p>
    <w:p w14:paraId="02FBE011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28827.2-2012 《信息技术服务 运行维护 第 2 部分:交付规范》</w:t>
      </w:r>
    </w:p>
    <w:p w14:paraId="49A4598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 T 28827.3-2012 《信息技术服务 运行维护 第 3 部分:应急响应规范》</w:t>
      </w:r>
    </w:p>
    <w:p w14:paraId="6DEF2694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国家有关法律、法规及行业标准</w:t>
      </w:r>
    </w:p>
    <w:p w14:paraId="1742B04B">
      <w:pPr>
        <w:pStyle w:val="26"/>
        <w:bidi w:val="0"/>
      </w:pPr>
      <w:bookmarkStart w:id="5" w:name="_Toc18529"/>
      <w:r>
        <w:t>参会人员</w:t>
      </w:r>
      <w:bookmarkEnd w:id="5"/>
    </w:p>
    <w:p w14:paraId="29F8E5C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76" w:hanging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组长：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李平</w:t>
      </w:r>
    </w:p>
    <w:p w14:paraId="129B93D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76" w:hanging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组员：秦立祥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肖龙莽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庄霞</w:t>
      </w:r>
    </w:p>
    <w:p w14:paraId="68143455">
      <w:pPr>
        <w:pStyle w:val="26"/>
        <w:bidi w:val="0"/>
      </w:pPr>
      <w:bookmarkStart w:id="6" w:name="_Toc15552"/>
      <w:r>
        <w:t>评审主要步骤</w:t>
      </w:r>
      <w:bookmarkEnd w:id="6"/>
    </w:p>
    <w:p w14:paraId="5FA60F76">
      <w:pPr>
        <w:pStyle w:val="39"/>
        <w:numPr>
          <w:ilvl w:val="0"/>
          <w:numId w:val="3"/>
        </w:numPr>
        <w:bidi w:val="0"/>
      </w:pPr>
      <w:r>
        <w:t>质量部汇总公司IT运维服务管理指标、管理能力情况、体系实施情况、客户满意度调查结果、内审报告、不符合项报告及其关闭材料等；</w:t>
      </w:r>
    </w:p>
    <w:p w14:paraId="23D1748F">
      <w:pPr>
        <w:pStyle w:val="39"/>
        <w:numPr>
          <w:ilvl w:val="0"/>
          <w:numId w:val="3"/>
        </w:numPr>
        <w:bidi w:val="0"/>
      </w:pPr>
      <w:r>
        <w:t>公司管理层对管理评审材料进行审核并签署评审意见；</w:t>
      </w:r>
    </w:p>
    <w:p w14:paraId="50F718A3">
      <w:pPr>
        <w:pStyle w:val="39"/>
        <w:numPr>
          <w:ilvl w:val="0"/>
          <w:numId w:val="3"/>
        </w:numPr>
        <w:bidi w:val="0"/>
      </w:pPr>
      <w:r>
        <w:t>质量部负责协助管理者代表纠正各部门发现的问题，并跟踪验证纠正</w:t>
      </w:r>
    </w:p>
    <w:p w14:paraId="2380576D">
      <w:pPr>
        <w:pStyle w:val="39"/>
        <w:numPr>
          <w:ilvl w:val="0"/>
          <w:numId w:val="3"/>
        </w:numPr>
        <w:bidi w:val="0"/>
      </w:pPr>
      <w:r>
        <w:t>预防措施的执行情况；</w:t>
      </w:r>
    </w:p>
    <w:p w14:paraId="5A6C180D">
      <w:pPr>
        <w:pStyle w:val="39"/>
        <w:numPr>
          <w:ilvl w:val="0"/>
          <w:numId w:val="3"/>
        </w:numPr>
        <w:bidi w:val="0"/>
      </w:pPr>
      <w:r>
        <w:t>总经理对管理评审报告进行审批。</w:t>
      </w:r>
    </w:p>
    <w:p w14:paraId="3C2A6665">
      <w:pPr>
        <w:pStyle w:val="26"/>
        <w:bidi w:val="0"/>
      </w:pPr>
      <w:bookmarkStart w:id="7" w:name="_Toc11970"/>
      <w:r>
        <w:t>评审内容</w:t>
      </w:r>
      <w:bookmarkEnd w:id="7"/>
    </w:p>
    <w:p w14:paraId="341DA50C">
      <w:pPr>
        <w:pStyle w:val="39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内部审核报告</w:t>
      </w:r>
    </w:p>
    <w:p w14:paraId="4DFC4926">
      <w:pPr>
        <w:pStyle w:val="39"/>
        <w:numPr>
          <w:ilvl w:val="0"/>
          <w:numId w:val="4"/>
        </w:numPr>
        <w:bidi w:val="0"/>
      </w:pPr>
      <w:r>
        <w:t>各部门指标完成情况</w:t>
      </w:r>
    </w:p>
    <w:p w14:paraId="01FDC96B">
      <w:pPr>
        <w:pStyle w:val="39"/>
        <w:numPr>
          <w:ilvl w:val="0"/>
          <w:numId w:val="4"/>
        </w:numPr>
        <w:bidi w:val="0"/>
      </w:pPr>
      <w:r>
        <w:t xml:space="preserve"> 客户满意度调查和客户投诉情况</w:t>
      </w:r>
    </w:p>
    <w:p w14:paraId="1DC1427D">
      <w:pPr>
        <w:pStyle w:val="39"/>
        <w:numPr>
          <w:ilvl w:val="0"/>
          <w:numId w:val="4"/>
        </w:numPr>
        <w:bidi w:val="0"/>
      </w:pPr>
      <w:r>
        <w:t>公司的组织结构、职责分配、资源配备的适宜性</w:t>
      </w:r>
    </w:p>
    <w:p w14:paraId="4D5ADA8B">
      <w:pPr>
        <w:pStyle w:val="39"/>
        <w:numPr>
          <w:ilvl w:val="0"/>
          <w:numId w:val="4"/>
        </w:numPr>
        <w:bidi w:val="0"/>
      </w:pPr>
      <w:r>
        <w:t>体系要素及文件的适宜性</w:t>
      </w:r>
    </w:p>
    <w:p w14:paraId="4F8C0A2D">
      <w:pPr>
        <w:pStyle w:val="39"/>
        <w:numPr>
          <w:ilvl w:val="0"/>
          <w:numId w:val="4"/>
        </w:numPr>
        <w:bidi w:val="0"/>
      </w:pPr>
      <w:r>
        <w:t>客户及员工对运维服务能力体系的合理化建议</w:t>
      </w:r>
    </w:p>
    <w:p w14:paraId="5918B3F9">
      <w:pPr>
        <w:pStyle w:val="39"/>
        <w:numPr>
          <w:ilvl w:val="0"/>
          <w:numId w:val="4"/>
        </w:numPr>
        <w:bidi w:val="0"/>
      </w:pPr>
      <w:r>
        <w:t>其他</w:t>
      </w:r>
    </w:p>
    <w:p w14:paraId="6B1A6CDE">
      <w:pPr>
        <w:pStyle w:val="26"/>
        <w:bidi w:val="0"/>
      </w:pPr>
      <w:bookmarkStart w:id="8" w:name="_Toc14094"/>
      <w:r>
        <w:t>评审结论</w:t>
      </w:r>
      <w:bookmarkEnd w:id="8"/>
    </w:p>
    <w:p w14:paraId="5E8629AC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Chars="0" w:firstLine="480" w:firstLineChars="200"/>
        <w:textAlignment w:val="baseline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根据各部门所提交的项目实施和部门总结资料，评审组成员经过认真的审核和讨论，就下面几项内容达成共识：</w:t>
      </w:r>
    </w:p>
    <w:p w14:paraId="0640A2CF">
      <w:pPr>
        <w:pStyle w:val="28"/>
        <w:bidi w:val="0"/>
      </w:pPr>
      <w:bookmarkStart w:id="9" w:name="_Toc24610"/>
      <w:r>
        <w:t>运维能力体系运行的适宜性、有效性评审</w:t>
      </w:r>
      <w:bookmarkEnd w:id="9"/>
    </w:p>
    <w:p w14:paraId="4DE52FF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我公司运维能力体系自建设和运行以来，公司的运维服务能力和项目服务质量有了明显的提高。由于在管理和服务过程中明确了相关标准，整合了公司的组织架构，搭建了相关体系，完善了过程的可追朔性，明确了各部门及各岗位的职责，使得公司的职责权限更加合理分明，业务流程更加顺畅。</w:t>
      </w:r>
    </w:p>
    <w:p w14:paraId="7589D84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公司在2025年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4月至12月</w:t>
      </w:r>
      <w:r>
        <w:rPr>
          <w:rFonts w:ascii="宋体" w:hAnsi="宋体" w:eastAsia="宋体" w:cs="宋体"/>
          <w:sz w:val="24"/>
          <w:szCs w:val="24"/>
        </w:rPr>
        <w:t>对全体员工加大了运维能力体系方面的培训力度，能力体系得到全体员工的理解和支持。评审认为：我公司运维能力体系提高了公司的管理水平，增强了公司的实力和竞争力。</w:t>
      </w:r>
    </w:p>
    <w:p w14:paraId="0A9FEFF4">
      <w:pPr>
        <w:pStyle w:val="28"/>
        <w:bidi w:val="0"/>
      </w:pPr>
      <w:bookmarkStart w:id="10" w:name="_Toc18476"/>
      <w:r>
        <w:t>质量内部审核评审</w:t>
      </w:r>
      <w:bookmarkEnd w:id="10"/>
    </w:p>
    <w:p w14:paraId="584BFD7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2025年我公司于</w:t>
      </w:r>
      <w:r>
        <w:rPr>
          <w:rFonts w:hint="eastAsia" w:ascii="宋体" w:hAnsi="宋体" w:cs="宋体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z w:val="24"/>
          <w:szCs w:val="24"/>
        </w:rPr>
        <w:t>月组织了1次内部审核，共开出1份不符合项报告下发到相关部门，相关责任部门认真进行了原因分析，制定了相应的纠正措施。质量部在规定期限内做了实际验证，现已全部纠正完毕，全部达到运维管理体系的要求。</w:t>
      </w:r>
    </w:p>
    <w:p w14:paraId="5692135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</w:pPr>
      <w:r>
        <w:rPr>
          <w:rFonts w:ascii="宋体" w:hAnsi="宋体" w:eastAsia="宋体" w:cs="宋体"/>
          <w:sz w:val="24"/>
          <w:szCs w:val="24"/>
        </w:rPr>
        <w:t>通过本次审核，对我公司的运维能力体系运行情况进行了一次全面的了解及检查，发现问题并及时解决，完善了公司管理体制，提高了公司的管理水平，保证了公司的正常运作及持续发展。</w:t>
      </w:r>
    </w:p>
    <w:p w14:paraId="60E92185">
      <w:pPr>
        <w:pStyle w:val="28"/>
        <w:bidi w:val="0"/>
      </w:pPr>
      <w:bookmarkStart w:id="11" w:name="_Toc10922"/>
      <w:r>
        <w:t>满意度调查评审</w:t>
      </w:r>
      <w:bookmarkEnd w:id="11"/>
    </w:p>
    <w:p w14:paraId="43B83FE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通过项目满意度调查统计分析，公司客户满意度平均分为 96 分，达到了公司满意度指标要求，客户对我公司服务质量持认可态度。评审认为 ：我公司当前项目运行情况是正常的，达到了规划要求。希望各部门再接再厉，不断的改进我们的工作。</w:t>
      </w:r>
    </w:p>
    <w:p w14:paraId="3E954786">
      <w:pPr>
        <w:pStyle w:val="28"/>
        <w:bidi w:val="0"/>
      </w:pPr>
      <w:bookmarkStart w:id="12" w:name="_Toc9737"/>
      <w:r>
        <w:t>客户投诉情况评审</w:t>
      </w:r>
      <w:bookmarkEnd w:id="12"/>
    </w:p>
    <w:p w14:paraId="47FED56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暂无接受到任何有效投诉事件。</w:t>
      </w:r>
    </w:p>
    <w:p w14:paraId="2807B325">
      <w:pPr>
        <w:pStyle w:val="28"/>
        <w:bidi w:val="0"/>
      </w:pPr>
      <w:bookmarkStart w:id="13" w:name="_Toc13137"/>
      <w:r>
        <w:t>结论</w:t>
      </w:r>
      <w:bookmarkEnd w:id="13"/>
    </w:p>
    <w:p w14:paraId="5263A38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截止目前</w:t>
      </w:r>
      <w:r>
        <w:rPr>
          <w:rFonts w:ascii="宋体" w:hAnsi="宋体" w:eastAsia="宋体" w:cs="宋体"/>
          <w:sz w:val="24"/>
          <w:szCs w:val="24"/>
        </w:rPr>
        <w:t>公司管理评审在公司各部门的积极配合下圆满地结束了，对本次管理评审公司各相关部门做了周密的安排，参加会议的各部门人员也做了充分的准备，对公司的运维管理目标进行了认真的评议，全面的总结了公司运维能力体系的运行情况，肯定了2025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4月至12月</w:t>
      </w:r>
      <w:r>
        <w:rPr>
          <w:rFonts w:ascii="宋体" w:hAnsi="宋体" w:eastAsia="宋体" w:cs="宋体"/>
          <w:sz w:val="24"/>
          <w:szCs w:val="24"/>
        </w:rPr>
        <w:t>质量管理体系运行的适宜性、有效性。通过这次管理评审，总结了经验，将更有力的推动公司持续发展。</w:t>
      </w:r>
    </w:p>
    <w:p w14:paraId="1DAEB48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</w:p>
    <w:p w14:paraId="4AA81551">
      <w:pPr>
        <w:spacing w:before="64" w:line="220" w:lineRule="auto"/>
        <w:ind w:left="22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评审人：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李平</w:t>
      </w:r>
      <w:bookmarkStart w:id="14" w:name="_GoBack"/>
      <w:bookmarkEnd w:id="14"/>
      <w:r>
        <w:rPr>
          <w:rFonts w:ascii="宋体" w:hAnsi="宋体" w:eastAsia="宋体" w:cs="宋体"/>
          <w:spacing w:val="-1"/>
          <w:sz w:val="24"/>
          <w:szCs w:val="24"/>
        </w:rPr>
        <w:t xml:space="preserve">                                审核人：吴向阳</w:t>
      </w:r>
    </w:p>
    <w:p w14:paraId="2E920FD7">
      <w:pPr>
        <w:spacing w:before="64" w:line="220" w:lineRule="auto"/>
        <w:ind w:left="22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时间： 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20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日             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 xml:space="preserve">     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 xml:space="preserve">     </w:t>
      </w:r>
      <w:r>
        <w:rPr>
          <w:rFonts w:ascii="宋体" w:hAnsi="宋体" w:eastAsia="宋体" w:cs="宋体"/>
          <w:spacing w:val="-1"/>
          <w:sz w:val="24"/>
          <w:szCs w:val="24"/>
        </w:rPr>
        <w:t>时间： 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0</w:t>
      </w:r>
      <w:r>
        <w:rPr>
          <w:rFonts w:ascii="宋体" w:hAnsi="宋体" w:eastAsia="宋体" w:cs="宋体"/>
          <w:spacing w:val="-1"/>
          <w:sz w:val="24"/>
          <w:szCs w:val="24"/>
        </w:rPr>
        <w:t>日</w:t>
      </w:r>
    </w:p>
    <w:sectPr>
      <w:footerReference r:id="rId10" w:type="default"/>
      <w:pgSz w:w="11906" w:h="16839"/>
      <w:pgMar w:top="1040" w:right="1785" w:bottom="686" w:left="178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9D51F7">
    <w:pPr>
      <w:pStyle w:val="12"/>
      <w:spacing w:line="63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E10E84">
    <w:pPr>
      <w:spacing w:line="166" w:lineRule="auto"/>
      <w:ind w:left="43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69F62">
    <w:pPr>
      <w:spacing w:line="167" w:lineRule="auto"/>
      <w:ind w:left="4208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75F0A9">
    <w:pPr>
      <w:pStyle w:val="12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83062D">
    <w:pPr>
      <w:pStyle w:val="12"/>
      <w:spacing w:line="52" w:lineRule="auto"/>
      <w:rPr>
        <w:sz w:val="2"/>
      </w:rPr>
    </w:pPr>
    <w:r>
      <w:pict>
        <v:shape id="_x0000_s2049" o:spid="_x0000_s2049" style="position:absolute;left:0pt;margin-left:83.6pt;margin-top:54.5pt;height:0.75pt;width:428.15pt;mso-position-horizontal-relative:page;mso-position-vertical-relative:page;z-index:251659264;mso-width-relative:page;mso-height-relative:page;" filled="f" stroked="t" coordsize="8562,15" o:allowincell="f" path="m0,7l8562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E654B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A5017F"/>
    <w:multiLevelType w:val="singleLevel"/>
    <w:tmpl w:val="A4A5017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1AD539FE"/>
    <w:multiLevelType w:val="singleLevel"/>
    <w:tmpl w:val="1AD539FE"/>
    <w:lvl w:ilvl="0" w:tentative="0">
      <w:start w:val="1"/>
      <w:numFmt w:val="decimal"/>
      <w:lvlText w:val="(%1)"/>
      <w:lvlJc w:val="left"/>
      <w:pPr>
        <w:ind w:left="635" w:hanging="425"/>
      </w:pPr>
      <w:rPr>
        <w:rFonts w:hint="default"/>
      </w:rPr>
    </w:lvl>
  </w:abstractNum>
  <w:abstractNum w:abstractNumId="3">
    <w:nsid w:val="7993E6FD"/>
    <w:multiLevelType w:val="singleLevel"/>
    <w:tmpl w:val="7993E6F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BB24F7"/>
    <w:rsid w:val="127E28E2"/>
    <w:rsid w:val="12CC08D8"/>
    <w:rsid w:val="160F750C"/>
    <w:rsid w:val="16135A37"/>
    <w:rsid w:val="166B7621"/>
    <w:rsid w:val="2AB948E6"/>
    <w:rsid w:val="2BBF5FEE"/>
    <w:rsid w:val="3B7339AE"/>
    <w:rsid w:val="3CB071A0"/>
    <w:rsid w:val="40321F58"/>
    <w:rsid w:val="40574EC1"/>
    <w:rsid w:val="40BE63C2"/>
    <w:rsid w:val="46584C1D"/>
    <w:rsid w:val="695B664F"/>
    <w:rsid w:val="6D6A3304"/>
    <w:rsid w:val="6EBE6636"/>
    <w:rsid w:val="7B93763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1458</Words>
  <Characters>1610</Characters>
  <Lines>0</Lines>
  <Paragraphs>0</Paragraphs>
  <TotalTime>0</TotalTime>
  <ScaleCrop>false</ScaleCrop>
  <LinksUpToDate>false</LinksUpToDate>
  <CharactersWithSpaces>1751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2025-08-17T00:51:00Z</dcterms:created>
  <dc:creator>谢永刚</dc:creator>
  <cp:lastModifiedBy>郝宇</cp:lastModifiedBy>
  <dcterms:modified xsi:type="dcterms:W3CDTF">2026-01-30T15:25:31Z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2025-08-21T01:03:30Z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6AE8547ADC404C168D85BE2DE8C41801_12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