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9F6E38">
      <w:pPr>
        <w:pStyle w:val="26"/>
        <w:bidi w:val="0"/>
        <w:outlineLvl w:val="9"/>
        <w:rPr>
          <w:rFonts w:hint="eastAsia"/>
          <w:lang w:val="en-US" w:eastAsia="zh-CN"/>
        </w:rPr>
      </w:pPr>
    </w:p>
    <w:p w14:paraId="228A3E33">
      <w:pPr>
        <w:pStyle w:val="26"/>
        <w:bidi w:val="0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2025年满意度调查计划</w:t>
      </w:r>
    </w:p>
    <w:p w14:paraId="3E5646BA">
      <w:pPr>
        <w:pStyle w:val="27"/>
        <w:bidi w:val="0"/>
        <w:outlineLvl w:val="9"/>
      </w:pPr>
      <w:r>
        <w:t>中达丰集团有限公司</w:t>
      </w:r>
    </w:p>
    <w:p w14:paraId="268FB3B7">
      <w:pPr>
        <w:bidi w:val="0"/>
        <w:spacing w:line="219" w:lineRule="auto"/>
        <w:jc w:val="center"/>
        <w:rPr>
          <w:rFonts w:hint="default" w:ascii="宋体" w:hAnsi="宋体" w:eastAsia="宋体" w:cs="宋体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2025年4月4日</w:t>
      </w:r>
    </w:p>
    <w:p w14:paraId="2A41C8AE">
      <w:pPr>
        <w:pStyle w:val="12"/>
        <w:bidi w:val="0"/>
        <w:spacing w:line="363" w:lineRule="auto"/>
      </w:pPr>
    </w:p>
    <w:p w14:paraId="0E577B25">
      <w:pPr>
        <w:bidi w:val="0"/>
        <w:spacing w:before="91" w:line="220" w:lineRule="auto"/>
        <w:ind w:left="3811" w:leftChars="0"/>
        <w:outlineLvl w:val="9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</w:p>
    <w:p w14:paraId="0BC82C50">
      <w:pPr>
        <w:bidi w:val="0"/>
        <w:spacing w:line="131" w:lineRule="exact"/>
      </w:pPr>
    </w:p>
    <w:tbl>
      <w:tblPr>
        <w:tblStyle w:val="24"/>
        <w:tblW w:w="914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31"/>
        <w:gridCol w:w="1528"/>
        <w:gridCol w:w="2341"/>
        <w:gridCol w:w="1982"/>
        <w:gridCol w:w="1563"/>
      </w:tblGrid>
      <w:tr w14:paraId="07B57D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1731" w:type="dxa"/>
            <w:vAlign w:val="center"/>
          </w:tcPr>
          <w:p w14:paraId="41B966E8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文档名称编号</w:t>
            </w:r>
          </w:p>
        </w:tc>
        <w:tc>
          <w:tcPr>
            <w:tcW w:w="7414" w:type="dxa"/>
            <w:gridSpan w:val="4"/>
            <w:vAlign w:val="center"/>
          </w:tcPr>
          <w:p w14:paraId="5B05F52C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2025年度</w:t>
            </w:r>
            <w:r>
              <w:rPr>
                <w:rFonts w:hint="eastAsia"/>
                <w:spacing w:val="-1"/>
                <w:lang w:val="en-US" w:eastAsia="zh-CN"/>
              </w:rPr>
              <w:t>满意度调查计划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MYDDC</w:t>
            </w:r>
            <w:r>
              <w:rPr>
                <w:spacing w:val="-1"/>
              </w:rPr>
              <w:t>）</w:t>
            </w:r>
          </w:p>
        </w:tc>
      </w:tr>
      <w:tr w14:paraId="2E19D1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31" w:type="dxa"/>
            <w:vAlign w:val="center"/>
          </w:tcPr>
          <w:p w14:paraId="299924FC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编制单位</w:t>
            </w:r>
          </w:p>
        </w:tc>
        <w:tc>
          <w:tcPr>
            <w:tcW w:w="7414" w:type="dxa"/>
            <w:gridSpan w:val="4"/>
            <w:vAlign w:val="center"/>
          </w:tcPr>
          <w:p w14:paraId="63F175E1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中达丰集团有限公司</w:t>
            </w:r>
          </w:p>
        </w:tc>
      </w:tr>
      <w:tr w14:paraId="29D250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31" w:type="dxa"/>
            <w:vAlign w:val="center"/>
          </w:tcPr>
          <w:p w14:paraId="580593F7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文档密级</w:t>
            </w:r>
          </w:p>
        </w:tc>
        <w:tc>
          <w:tcPr>
            <w:tcW w:w="7414" w:type="dxa"/>
            <w:gridSpan w:val="4"/>
            <w:vAlign w:val="center"/>
          </w:tcPr>
          <w:p w14:paraId="24CB186A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秘密</w:t>
            </w:r>
          </w:p>
        </w:tc>
      </w:tr>
      <w:tr w14:paraId="16DA3B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31" w:type="dxa"/>
            <w:vAlign w:val="center"/>
          </w:tcPr>
          <w:p w14:paraId="61D9C645">
            <w:pPr>
              <w:pStyle w:val="25"/>
              <w:spacing w:before="186" w:line="219" w:lineRule="auto"/>
            </w:pPr>
            <w:r>
              <w:rPr>
                <w:spacing w:val="-3"/>
              </w:rPr>
              <w:t>文档版本</w:t>
            </w:r>
          </w:p>
        </w:tc>
        <w:tc>
          <w:tcPr>
            <w:tcW w:w="1528" w:type="dxa"/>
            <w:vAlign w:val="center"/>
          </w:tcPr>
          <w:p w14:paraId="32872E59">
            <w:pPr>
              <w:pStyle w:val="25"/>
              <w:spacing w:before="186" w:line="219" w:lineRule="auto"/>
              <w:ind w:left="371"/>
            </w:pPr>
            <w:r>
              <w:rPr>
                <w:spacing w:val="-2"/>
              </w:rPr>
              <w:t>版本日期</w:t>
            </w:r>
          </w:p>
        </w:tc>
        <w:tc>
          <w:tcPr>
            <w:tcW w:w="2341" w:type="dxa"/>
            <w:vAlign w:val="center"/>
          </w:tcPr>
          <w:p w14:paraId="7165EC18">
            <w:pPr>
              <w:pStyle w:val="25"/>
              <w:spacing w:before="186" w:line="219" w:lineRule="auto"/>
              <w:ind w:left="695"/>
            </w:pPr>
            <w:r>
              <w:rPr>
                <w:spacing w:val="-2"/>
              </w:rPr>
              <w:t>版本说明</w:t>
            </w:r>
          </w:p>
        </w:tc>
        <w:tc>
          <w:tcPr>
            <w:tcW w:w="1982" w:type="dxa"/>
            <w:vAlign w:val="center"/>
          </w:tcPr>
          <w:p w14:paraId="26F333E3">
            <w:pPr>
              <w:pStyle w:val="25"/>
              <w:spacing w:before="187" w:line="220" w:lineRule="auto"/>
              <w:ind w:left="758"/>
            </w:pPr>
            <w:r>
              <w:rPr>
                <w:spacing w:val="-3"/>
              </w:rPr>
              <w:t>作者</w:t>
            </w:r>
          </w:p>
        </w:tc>
        <w:tc>
          <w:tcPr>
            <w:tcW w:w="1563" w:type="dxa"/>
            <w:vAlign w:val="center"/>
          </w:tcPr>
          <w:p w14:paraId="380E07BB">
            <w:pPr>
              <w:pStyle w:val="25"/>
              <w:spacing w:before="187" w:line="220" w:lineRule="auto"/>
              <w:ind w:left="559"/>
            </w:pPr>
            <w:r>
              <w:rPr>
                <w:spacing w:val="-6"/>
              </w:rPr>
              <w:t>审核</w:t>
            </w:r>
          </w:p>
        </w:tc>
      </w:tr>
      <w:tr w14:paraId="702192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1731" w:type="dxa"/>
            <w:vAlign w:val="center"/>
          </w:tcPr>
          <w:p w14:paraId="6FC1AD6A">
            <w:pPr>
              <w:pStyle w:val="25"/>
              <w:spacing w:before="162" w:line="239" w:lineRule="auto"/>
              <w:ind w:left="538"/>
            </w:pPr>
            <w:r>
              <w:rPr>
                <w:spacing w:val="-1"/>
              </w:rPr>
              <w:t>V1.0</w:t>
            </w:r>
          </w:p>
        </w:tc>
        <w:tc>
          <w:tcPr>
            <w:tcW w:w="1528" w:type="dxa"/>
            <w:vAlign w:val="center"/>
          </w:tcPr>
          <w:p w14:paraId="34B495ED">
            <w:pPr>
              <w:pStyle w:val="25"/>
              <w:spacing w:before="162"/>
              <w:ind w:left="313"/>
              <w:rPr>
                <w:rFonts w:hint="eastAsia" w:eastAsia="等线"/>
                <w:lang w:eastAsia="zh-CN"/>
              </w:rPr>
            </w:pPr>
            <w:r>
              <w:rPr>
                <w:spacing w:val="-2"/>
              </w:rPr>
              <w:t>2025-4-4</w:t>
            </w:r>
          </w:p>
        </w:tc>
        <w:tc>
          <w:tcPr>
            <w:tcW w:w="2341" w:type="dxa"/>
            <w:vAlign w:val="center"/>
          </w:tcPr>
          <w:p w14:paraId="0CB54BE2">
            <w:pPr>
              <w:pStyle w:val="25"/>
              <w:spacing w:before="128" w:line="219" w:lineRule="auto"/>
              <w:ind w:left="698"/>
            </w:pPr>
            <w:r>
              <w:rPr>
                <w:spacing w:val="-3"/>
              </w:rPr>
              <w:t>发布版本</w:t>
            </w:r>
          </w:p>
        </w:tc>
        <w:tc>
          <w:tcPr>
            <w:tcW w:w="1982" w:type="dxa"/>
            <w:vAlign w:val="center"/>
          </w:tcPr>
          <w:p w14:paraId="5FC072CD">
            <w:pPr>
              <w:pStyle w:val="25"/>
              <w:spacing w:before="128" w:line="220" w:lineRule="auto"/>
              <w:ind w:left="639"/>
              <w:rPr>
                <w:rFonts w:hint="eastAsia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李平</w:t>
            </w:r>
          </w:p>
        </w:tc>
        <w:tc>
          <w:tcPr>
            <w:tcW w:w="1563" w:type="dxa"/>
            <w:vAlign w:val="center"/>
          </w:tcPr>
          <w:p w14:paraId="6A1E7EE1">
            <w:pPr>
              <w:pStyle w:val="25"/>
              <w:spacing w:before="129" w:line="220" w:lineRule="auto"/>
              <w:ind w:left="439"/>
              <w:rPr>
                <w:rFonts w:hint="eastAsia" w:eastAsia="等线"/>
                <w:lang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吴向阳</w:t>
            </w:r>
          </w:p>
        </w:tc>
      </w:tr>
      <w:tr w14:paraId="6D2B80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731" w:type="dxa"/>
            <w:vAlign w:val="center"/>
          </w:tcPr>
          <w:p w14:paraId="39565D22">
            <w:pPr>
              <w:rPr>
                <w:rFonts w:ascii="Arial"/>
                <w:sz w:val="21"/>
              </w:rPr>
            </w:pPr>
          </w:p>
        </w:tc>
        <w:tc>
          <w:tcPr>
            <w:tcW w:w="1528" w:type="dxa"/>
            <w:vAlign w:val="center"/>
          </w:tcPr>
          <w:p w14:paraId="61BFD3B6">
            <w:pPr>
              <w:rPr>
                <w:rFonts w:ascii="Arial"/>
                <w:sz w:val="21"/>
              </w:rPr>
            </w:pPr>
          </w:p>
        </w:tc>
        <w:tc>
          <w:tcPr>
            <w:tcW w:w="2341" w:type="dxa"/>
            <w:vAlign w:val="center"/>
          </w:tcPr>
          <w:p w14:paraId="1756CB96">
            <w:pPr>
              <w:rPr>
                <w:rFonts w:ascii="Arial"/>
                <w:sz w:val="21"/>
              </w:rPr>
            </w:pPr>
          </w:p>
        </w:tc>
        <w:tc>
          <w:tcPr>
            <w:tcW w:w="1982" w:type="dxa"/>
            <w:vAlign w:val="center"/>
          </w:tcPr>
          <w:p w14:paraId="6B82467D">
            <w:pPr>
              <w:rPr>
                <w:rFonts w:ascii="Arial"/>
                <w:sz w:val="21"/>
              </w:rPr>
            </w:pPr>
          </w:p>
        </w:tc>
        <w:tc>
          <w:tcPr>
            <w:tcW w:w="1563" w:type="dxa"/>
            <w:vAlign w:val="center"/>
          </w:tcPr>
          <w:p w14:paraId="119B4B75">
            <w:pPr>
              <w:rPr>
                <w:rFonts w:ascii="Arial"/>
                <w:sz w:val="21"/>
              </w:rPr>
            </w:pPr>
          </w:p>
        </w:tc>
      </w:tr>
      <w:tr w14:paraId="776259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731" w:type="dxa"/>
            <w:vAlign w:val="center"/>
          </w:tcPr>
          <w:p w14:paraId="1B125B72">
            <w:pPr>
              <w:rPr>
                <w:rFonts w:ascii="Arial"/>
                <w:sz w:val="21"/>
              </w:rPr>
            </w:pPr>
          </w:p>
        </w:tc>
        <w:tc>
          <w:tcPr>
            <w:tcW w:w="1528" w:type="dxa"/>
            <w:vAlign w:val="center"/>
          </w:tcPr>
          <w:p w14:paraId="7B7A0028">
            <w:pPr>
              <w:rPr>
                <w:rFonts w:ascii="Arial"/>
                <w:sz w:val="21"/>
              </w:rPr>
            </w:pPr>
          </w:p>
        </w:tc>
        <w:tc>
          <w:tcPr>
            <w:tcW w:w="2341" w:type="dxa"/>
            <w:vAlign w:val="center"/>
          </w:tcPr>
          <w:p w14:paraId="4DFE781F">
            <w:pPr>
              <w:rPr>
                <w:rFonts w:ascii="Arial"/>
                <w:sz w:val="21"/>
              </w:rPr>
            </w:pPr>
          </w:p>
        </w:tc>
        <w:tc>
          <w:tcPr>
            <w:tcW w:w="1982" w:type="dxa"/>
            <w:vAlign w:val="center"/>
          </w:tcPr>
          <w:p w14:paraId="379CA1A5">
            <w:pPr>
              <w:rPr>
                <w:rFonts w:ascii="Arial"/>
                <w:sz w:val="21"/>
              </w:rPr>
            </w:pPr>
          </w:p>
        </w:tc>
        <w:tc>
          <w:tcPr>
            <w:tcW w:w="1563" w:type="dxa"/>
            <w:vAlign w:val="center"/>
          </w:tcPr>
          <w:p w14:paraId="6C79720C">
            <w:pPr>
              <w:rPr>
                <w:rFonts w:ascii="Arial"/>
                <w:sz w:val="21"/>
              </w:rPr>
            </w:pPr>
          </w:p>
        </w:tc>
      </w:tr>
      <w:tr w14:paraId="100EC0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731" w:type="dxa"/>
            <w:vAlign w:val="center"/>
          </w:tcPr>
          <w:p w14:paraId="4D077596">
            <w:pPr>
              <w:rPr>
                <w:rFonts w:ascii="Arial"/>
                <w:sz w:val="21"/>
              </w:rPr>
            </w:pPr>
          </w:p>
        </w:tc>
        <w:tc>
          <w:tcPr>
            <w:tcW w:w="1528" w:type="dxa"/>
            <w:vAlign w:val="center"/>
          </w:tcPr>
          <w:p w14:paraId="2219FB88">
            <w:pPr>
              <w:rPr>
                <w:rFonts w:ascii="Arial"/>
                <w:sz w:val="21"/>
              </w:rPr>
            </w:pPr>
          </w:p>
        </w:tc>
        <w:tc>
          <w:tcPr>
            <w:tcW w:w="2341" w:type="dxa"/>
            <w:vAlign w:val="center"/>
          </w:tcPr>
          <w:p w14:paraId="2ED920E7">
            <w:pPr>
              <w:rPr>
                <w:rFonts w:ascii="Arial"/>
                <w:sz w:val="21"/>
              </w:rPr>
            </w:pPr>
          </w:p>
        </w:tc>
        <w:tc>
          <w:tcPr>
            <w:tcW w:w="1982" w:type="dxa"/>
            <w:vAlign w:val="center"/>
          </w:tcPr>
          <w:p w14:paraId="24F6B09C">
            <w:pPr>
              <w:rPr>
                <w:rFonts w:ascii="Arial"/>
                <w:sz w:val="21"/>
              </w:rPr>
            </w:pPr>
          </w:p>
        </w:tc>
        <w:tc>
          <w:tcPr>
            <w:tcW w:w="1563" w:type="dxa"/>
            <w:vAlign w:val="center"/>
          </w:tcPr>
          <w:p w14:paraId="6531D619">
            <w:pPr>
              <w:rPr>
                <w:rFonts w:ascii="Arial"/>
                <w:sz w:val="21"/>
              </w:rPr>
            </w:pPr>
          </w:p>
        </w:tc>
      </w:tr>
    </w:tbl>
    <w:p w14:paraId="472113BB"/>
    <w:p w14:paraId="4E4A600D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3142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987296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EDEE27D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_Toc2654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调查目的</w:t>
          </w:r>
          <w:r>
            <w:tab/>
          </w:r>
          <w:r>
            <w:fldChar w:fldCharType="begin"/>
          </w:r>
          <w:r>
            <w:instrText xml:space="preserve"> PAGEREF _Toc2654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5D13D0D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_Toc27896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调查范围</w:t>
          </w:r>
          <w:r>
            <w:tab/>
          </w:r>
          <w:r>
            <w:fldChar w:fldCharType="begin"/>
          </w:r>
          <w:r>
            <w:instrText xml:space="preserve"> PAGEREF _Toc27896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24737D5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_Toc6243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调查时间安排</w:t>
          </w:r>
          <w:r>
            <w:tab/>
          </w:r>
          <w:r>
            <w:fldChar w:fldCharType="begin"/>
          </w:r>
          <w:r>
            <w:instrText xml:space="preserve"> PAGEREF _Toc6243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CF386EC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_Toc29867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调查方式</w:t>
          </w:r>
          <w:r>
            <w:tab/>
          </w:r>
          <w:r>
            <w:fldChar w:fldCharType="begin"/>
          </w:r>
          <w:r>
            <w:instrText xml:space="preserve"> PAGEREF _Toc29867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EF54254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_Toc31661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调查内容与评价项</w:t>
          </w:r>
          <w:r>
            <w:tab/>
          </w:r>
          <w:r>
            <w:fldChar w:fldCharType="begin"/>
          </w:r>
          <w:r>
            <w:instrText xml:space="preserve"> PAGEREF _Toc31661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C401DCF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_Toc11461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满意度计算方式</w:t>
          </w:r>
          <w:r>
            <w:tab/>
          </w:r>
          <w:r>
            <w:fldChar w:fldCharType="begin"/>
          </w:r>
          <w:r>
            <w:instrText xml:space="preserve"> PAGEREF _Toc11461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1F905F1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_Toc14862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实施责任与分工</w:t>
          </w:r>
          <w:r>
            <w:tab/>
          </w:r>
          <w:r>
            <w:fldChar w:fldCharType="begin"/>
          </w:r>
          <w:r>
            <w:instrText xml:space="preserve"> PAGEREF _Toc14862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B7717B5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_Toc6069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后续改进</w:t>
          </w:r>
          <w:r>
            <w:tab/>
          </w:r>
          <w:r>
            <w:fldChar w:fldCharType="begin"/>
          </w:r>
          <w:r>
            <w:instrText xml:space="preserve"> PAGEREF _Toc6069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941FAF">
          <w:r>
            <w:fldChar w:fldCharType="end"/>
          </w:r>
        </w:p>
      </w:sdtContent>
    </w:sdt>
    <w:p w14:paraId="658113CA"/>
    <w:p w14:paraId="3FAEBC0D">
      <w:pPr>
        <w:rPr>
          <w:rFonts w:hint="eastAsia"/>
        </w:rPr>
      </w:pPr>
      <w:r>
        <w:br w:type="page"/>
      </w:r>
    </w:p>
    <w:p w14:paraId="6AE98B35">
      <w:pPr>
        <w:pStyle w:val="28"/>
        <w:bidi w:val="0"/>
        <w:rPr>
          <w:rFonts w:hint="eastAsia"/>
        </w:rPr>
      </w:pPr>
      <w:bookmarkStart w:id="0" w:name="_Toc2654"/>
      <w:r>
        <w:rPr>
          <w:rFonts w:hint="eastAsia"/>
        </w:rPr>
        <w:t>调查目的</w:t>
      </w:r>
      <w:bookmarkEnd w:id="0"/>
    </w:p>
    <w:p w14:paraId="469C673C">
      <w:pPr>
        <w:pStyle w:val="29"/>
        <w:bidi w:val="0"/>
        <w:rPr>
          <w:rFonts w:hint="eastAsia"/>
        </w:rPr>
      </w:pPr>
      <w:r>
        <w:rPr>
          <w:rFonts w:hint="eastAsia"/>
        </w:rPr>
        <w:t>为系统评估客户对公司运维服务的满意度，识别服务短板，推动持续改进，提升客户体验与服务质量，特制定本次调查计划。</w:t>
      </w:r>
    </w:p>
    <w:p w14:paraId="2453CABB">
      <w:pPr>
        <w:pStyle w:val="28"/>
        <w:bidi w:val="0"/>
        <w:rPr>
          <w:rFonts w:hint="eastAsia"/>
        </w:rPr>
      </w:pPr>
      <w:bookmarkStart w:id="1" w:name="_Toc27896"/>
      <w:r>
        <w:rPr>
          <w:rFonts w:hint="eastAsia"/>
        </w:rPr>
        <w:t>调查范围</w:t>
      </w:r>
      <w:bookmarkEnd w:id="1"/>
    </w:p>
    <w:p w14:paraId="53B4F4AD">
      <w:pPr>
        <w:pStyle w:val="29"/>
        <w:bidi w:val="0"/>
        <w:rPr>
          <w:rFonts w:hint="eastAsia"/>
        </w:rPr>
      </w:pPr>
      <w:bookmarkStart w:id="8" w:name="_GoBack"/>
      <w:r>
        <w:rPr>
          <w:rFonts w:hint="eastAsia"/>
        </w:rPr>
        <w:t>公司当前主要运维服务客户，包括但不限于：</w:t>
      </w:r>
      <w:r>
        <w:rPr>
          <w:rFonts w:hint="eastAsia"/>
          <w:lang w:val="en-US" w:eastAsia="zh-CN"/>
        </w:rPr>
        <w:t>浙江金学问教育培训有限公司、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"https://aiqicha.baidu.com/company_detail_49961337561779"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中国电信股份有限公司盐城分公司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"https://aiqicha.baidu.com/company_detail_62541599512189"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中国电信股份有限公司建湖分公司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"https://aiqicha.baidu.com/company_detail_73415732665345"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安徽开发矿业有限公司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"https://aiqicha.baidu.com/company_detail_60411085763539"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中电鸿信信息科技有限公司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"https://aiqicha.baidu.com/company_detail_26638936851218"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淮安市城市公共交通有限公司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</w:rPr>
        <w:t>等。</w:t>
      </w:r>
    </w:p>
    <w:bookmarkEnd w:id="8"/>
    <w:p w14:paraId="51646A2B">
      <w:pPr>
        <w:pStyle w:val="28"/>
        <w:bidi w:val="0"/>
        <w:rPr>
          <w:rFonts w:hint="eastAsia"/>
        </w:rPr>
      </w:pPr>
      <w:bookmarkStart w:id="2" w:name="_Toc6243"/>
      <w:r>
        <w:rPr>
          <w:rFonts w:hint="eastAsia"/>
        </w:rPr>
        <w:t>调查时间安排</w:t>
      </w:r>
      <w:bookmarkEnd w:id="2"/>
    </w:p>
    <w:p w14:paraId="2CC27BD6">
      <w:pPr>
        <w:pStyle w:val="29"/>
        <w:bidi w:val="0"/>
        <w:rPr>
          <w:rFonts w:hint="eastAsia"/>
        </w:rPr>
      </w:pPr>
      <w:r>
        <w:rPr>
          <w:rFonts w:hint="eastAsia"/>
        </w:rPr>
        <w:t>调查执行期：2025年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月10日-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月13日</w:t>
      </w:r>
    </w:p>
    <w:p w14:paraId="253FDCC9">
      <w:pPr>
        <w:pStyle w:val="29"/>
        <w:bidi w:val="0"/>
        <w:rPr>
          <w:rFonts w:hint="eastAsia"/>
        </w:rPr>
      </w:pPr>
      <w:r>
        <w:rPr>
          <w:rFonts w:hint="eastAsia"/>
        </w:rPr>
        <w:t>数据汇总与报告撰写：2025年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月14日</w:t>
      </w:r>
    </w:p>
    <w:p w14:paraId="1B87A2AF">
      <w:pPr>
        <w:pStyle w:val="28"/>
        <w:bidi w:val="0"/>
        <w:rPr>
          <w:rFonts w:hint="eastAsia"/>
        </w:rPr>
      </w:pPr>
      <w:bookmarkStart w:id="3" w:name="_Toc29867"/>
      <w:r>
        <w:rPr>
          <w:rFonts w:hint="eastAsia"/>
        </w:rPr>
        <w:t>调查方式</w:t>
      </w:r>
      <w:bookmarkEnd w:id="3"/>
    </w:p>
    <w:p w14:paraId="10F30A35">
      <w:pPr>
        <w:pStyle w:val="29"/>
        <w:bidi w:val="0"/>
        <w:rPr>
          <w:rFonts w:hint="eastAsia"/>
        </w:rPr>
      </w:pPr>
      <w:r>
        <w:rPr>
          <w:rFonts w:hint="eastAsia"/>
        </w:rPr>
        <w:t>主要以电子邮件形式发送《客户满意度调查表》进行问卷调研，并对重点客户辅以电话回访确认。</w:t>
      </w:r>
    </w:p>
    <w:p w14:paraId="0292829D">
      <w:pPr>
        <w:pStyle w:val="28"/>
        <w:bidi w:val="0"/>
      </w:pPr>
      <w:bookmarkStart w:id="4" w:name="_Toc31661"/>
      <w:r>
        <w:t>调查内容与评价项</w:t>
      </w:r>
      <w:bookmarkEnd w:id="4"/>
    </w:p>
    <w:p w14:paraId="6263766E">
      <w:pPr>
        <w:pStyle w:val="29"/>
        <w:bidi w:val="0"/>
        <w:rPr>
          <w:rFonts w:hint="default"/>
        </w:rPr>
      </w:pPr>
      <w:r>
        <w:rPr>
          <w:rFonts w:hint="default"/>
        </w:rPr>
        <w:t>调查将围绕以下十个维度展开，采用评分制，具体项目与分值如下：</w:t>
      </w:r>
    </w:p>
    <w:tbl>
      <w:tblPr>
        <w:tblStyle w:val="20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644"/>
        <w:gridCol w:w="924"/>
        <w:gridCol w:w="4877"/>
      </w:tblGrid>
      <w:tr w14:paraId="0E030C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D926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2A4A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调查项目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4133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标准分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1E1DF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评分说明</w:t>
            </w:r>
          </w:p>
        </w:tc>
      </w:tr>
      <w:tr w14:paraId="4BF2DB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58415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B39E9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技术水平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C23F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52151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评估技术能力的专业性与解决问题的能力。</w:t>
            </w:r>
          </w:p>
        </w:tc>
      </w:tr>
      <w:tr w14:paraId="549308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0EB62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B666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服务态度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C7B0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F86271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评估服务人员的礼貌、耐心与合作精神。</w:t>
            </w:r>
          </w:p>
        </w:tc>
      </w:tr>
      <w:tr w14:paraId="13A5EB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2E79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88570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服务及时性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B300E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49D512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评估响应请求、到达现场及处理问题的速度。</w:t>
            </w:r>
          </w:p>
        </w:tc>
      </w:tr>
      <w:tr w14:paraId="188F25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F679D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54890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服务规范性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D295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6CCCF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评估服务过程是否符合既定流程与标准。</w:t>
            </w:r>
          </w:p>
        </w:tc>
      </w:tr>
      <w:tr w14:paraId="601689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B7BB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9E86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问题解决的效率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5DAC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310A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评估从发现问题到解决方案提出的时间周期。</w:t>
            </w:r>
          </w:p>
        </w:tc>
      </w:tr>
      <w:tr w14:paraId="4E365B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8C97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3C4C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问题解决有效性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792B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A685B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评估解决方案是否彻底、根本地解决了问题，无复发。</w:t>
            </w:r>
          </w:p>
        </w:tc>
      </w:tr>
      <w:tr w14:paraId="62AA1C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5AF7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C9ED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咨询及培训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73C6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823A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评估日常咨询解答与培训支持的实用性与清晰度。</w:t>
            </w:r>
          </w:p>
        </w:tc>
      </w:tr>
      <w:tr w14:paraId="2C2382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5AC2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66F8B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使用方便性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32A1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0451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评估所提供的系统、工具或文档是否易于理解和使用。</w:t>
            </w:r>
          </w:p>
        </w:tc>
      </w:tr>
      <w:tr w14:paraId="65EB2D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1AE1D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FF74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系统相关培训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F72A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75E4C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评估针对具体系统操作的培训质量与效果。</w:t>
            </w:r>
          </w:p>
        </w:tc>
      </w:tr>
      <w:tr w14:paraId="791DB0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D8E7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35F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服务台服务水平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F743C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D9EF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评估服务台在接入、沟通、派单及跟进过程中的整体表现。</w:t>
            </w:r>
          </w:p>
        </w:tc>
      </w:tr>
      <w:tr w14:paraId="0C7811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4FED0A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AA20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C6C2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3A8D65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 w14:paraId="000D0A34">
      <w:pPr>
        <w:keepNext w:val="0"/>
        <w:keepLines w:val="0"/>
        <w:widowControl/>
        <w:suppressLineNumbers w:val="0"/>
        <w:jc w:val="left"/>
      </w:pPr>
    </w:p>
    <w:p w14:paraId="0B426A7C">
      <w:pPr>
        <w:pStyle w:val="28"/>
        <w:bidi w:val="0"/>
        <w:rPr>
          <w:rFonts w:hint="eastAsia"/>
          <w:lang w:val="en-US" w:eastAsia="zh-CN"/>
        </w:rPr>
      </w:pPr>
      <w:bookmarkStart w:id="5" w:name="_Toc11461"/>
      <w:r>
        <w:rPr>
          <w:rFonts w:hint="eastAsia"/>
          <w:lang w:val="en-US" w:eastAsia="zh-CN"/>
        </w:rPr>
        <w:t>满意度计算方式</w:t>
      </w:r>
      <w:bookmarkEnd w:id="5"/>
    </w:p>
    <w:p w14:paraId="6E9B0D9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单项评分标准：</w:t>
      </w:r>
    </w:p>
    <w:p w14:paraId="0B8ADA9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很满意：10分</w:t>
      </w:r>
    </w:p>
    <w:p w14:paraId="69382F8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满意：8分</w:t>
      </w:r>
    </w:p>
    <w:p w14:paraId="140BD2A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基本满意：5分</w:t>
      </w:r>
    </w:p>
    <w:p w14:paraId="2DDDA15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不满意：0分</w:t>
      </w:r>
    </w:p>
    <w:p w14:paraId="14E768E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客户总分计算：单份调查表中所有项目得分相加，即为该客户本次满意度调查总分（满分100分）。</w:t>
      </w:r>
    </w:p>
    <w:p w14:paraId="72316A6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满意度等级划分：</w:t>
      </w:r>
    </w:p>
    <w:p w14:paraId="7CB58BB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80-100分（含80分）：满意</w:t>
      </w:r>
    </w:p>
    <w:p w14:paraId="197395F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60-80分（含60分）： 尚可</w:t>
      </w:r>
    </w:p>
    <w:p w14:paraId="0E0D059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40-60分（含40分）： 不满意</w:t>
      </w:r>
    </w:p>
    <w:p w14:paraId="4728253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低于40分： 非常不满意</w:t>
      </w:r>
    </w:p>
    <w:p w14:paraId="1B2457C8">
      <w:pPr>
        <w:pStyle w:val="40"/>
        <w:bidi w:val="0"/>
        <w:rPr>
          <w:i w:val="0"/>
        </w:rPr>
      </w:pPr>
      <m:oMathPara>
        <m:oMath>
          <m:r>
            <m:rPr>
              <m:sty m:val="p"/>
            </m:rPr>
            <w:rPr>
              <w:rFonts w:hint="eastAsia" w:ascii="Times New Roman" w:hAnsi="Times New Roman"/>
              <w:lang w:val="en-US" w:eastAsia="zh-CN"/>
            </w:rPr>
            <m:t>客户满意度平均分</m:t>
          </m:r>
          <m:r>
            <m:rPr>
              <m:sty m:val="p"/>
            </m:rPr>
            <w:rPr>
              <w:rFonts w:hint="default" w:ascii="Times New Roman" w:hAnsi="Times New Roman"/>
              <w:lang w:val="en-US" w:eastAsia="zh-CN"/>
            </w:rPr>
            <m:t>=</m:t>
          </m:r>
          <m:r>
            <m:rPr>
              <m:sty m:val="p"/>
            </m:rPr>
            <m:t>满意度调查表总得分/收回的调查 问卷总份数</m:t>
          </m:r>
        </m:oMath>
      </m:oMathPara>
    </w:p>
    <w:p w14:paraId="3567F7B3">
      <w:pPr>
        <w:pStyle w:val="28"/>
        <w:bidi w:val="0"/>
        <w:rPr>
          <w:rFonts w:hint="eastAsia"/>
          <w:lang w:val="en-US" w:eastAsia="zh-CN"/>
        </w:rPr>
      </w:pPr>
      <w:bookmarkStart w:id="6" w:name="_Toc14862"/>
      <w:r>
        <w:rPr>
          <w:rFonts w:hint="eastAsia"/>
          <w:lang w:val="en-US" w:eastAsia="zh-CN"/>
        </w:rPr>
        <w:t>实施责任与分工</w:t>
      </w:r>
      <w:bookmarkEnd w:id="6"/>
    </w:p>
    <w:p w14:paraId="25C85729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准备阶段（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月10日前）： 由运维部编制并最终确认调查表，质量管理部审核。</w:t>
      </w:r>
    </w:p>
    <w:p w14:paraId="4C758E76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执行阶段（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月10日-13日）： 由运维部客户经理负责向指定客户发送并回收调查表，确保回收率。</w:t>
      </w:r>
    </w:p>
    <w:p w14:paraId="207101BA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汇总分析阶段（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月14日）： 由运维部专员进行数据录入、统计与计算，并撰写《客户满意度调查结果分析报告》。</w:t>
      </w:r>
    </w:p>
    <w:p w14:paraId="46F97FAD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报告与改进（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月14日后）：报告提交管理层审核，并召开专题会议，针对低分项制定改进措施，明确责任人与完成时限。</w:t>
      </w:r>
    </w:p>
    <w:p w14:paraId="6FAB9283">
      <w:pPr>
        <w:pStyle w:val="28"/>
        <w:bidi w:val="0"/>
        <w:rPr>
          <w:rFonts w:hint="default"/>
          <w:lang w:val="en-US" w:eastAsia="zh-CN"/>
        </w:rPr>
      </w:pPr>
      <w:bookmarkStart w:id="7" w:name="_Toc6069"/>
      <w:r>
        <w:rPr>
          <w:rFonts w:hint="default"/>
          <w:lang w:val="en-US" w:eastAsia="zh-CN"/>
        </w:rPr>
        <w:t>后续改进</w:t>
      </w:r>
      <w:bookmarkEnd w:id="7"/>
    </w:p>
    <w:p w14:paraId="1B4ACDF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调查结果将作为部门绩效考核与服务改进的重要依据。针对本次调查中发现的共性问题（如服务台用语规范性、合同流程效率等），将纳入公司持续改进计划，进行闭环跟踪管理。</w:t>
      </w:r>
    </w:p>
    <w:sectPr>
      <w:headerReference r:id="rId5" w:type="default"/>
      <w:pgSz w:w="11907" w:h="16840"/>
      <w:pgMar w:top="1240" w:right="1424" w:bottom="0" w:left="1786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B4EE07">
    <w:pPr>
      <w:pStyle w:val="12"/>
      <w:bidi w:val="0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50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4960FC"/>
    <w:rsid w:val="252D03D1"/>
    <w:rsid w:val="478277A5"/>
    <w:rsid w:val="4BE716CC"/>
    <w:rsid w:val="54CD67D6"/>
    <w:rsid w:val="6C8859AD"/>
    <w:rsid w:val="7D582D0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3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character" w:customStyle="1" w:styleId="30">
    <w:name w:val="柴_标题1 Char"/>
    <w:link w:val="28"/>
    <w:qFormat/>
    <w:uiPriority w:val="0"/>
    <w:rPr>
      <w:rFonts w:ascii="Arial" w:hAnsi="Arial" w:eastAsia="宋体"/>
      <w:sz w:val="32"/>
    </w:rPr>
  </w:style>
  <w:style w:type="character" w:customStyle="1" w:styleId="3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top w:val="nil"/>
          <w:left w:val="nil"/>
          <w:bottom w:val="single" w:color="auto" w:sz="2" w:space="0"/>
          <w:right w:val="nil"/>
          <w:insideH w:val="nil"/>
          <w:insideV w:val="nil"/>
          <w:tl2br w:val="nil"/>
          <w:tr2bl w:val="nil"/>
        </w:tcBorders>
        <w:vAlign w:val="bottom"/>
      </w:tcPr>
    </w:tblStyle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459</Words>
  <Characters>514</Characters>
  <Lines>0</Lines>
  <Paragraphs>0</Paragraphs>
  <TotalTime>0</TotalTime>
  <ScaleCrop>false</ScaleCrop>
  <LinksUpToDate>false</LinksUpToDate>
  <CharactersWithSpaces>550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2025-07-01T18:35:00Z</dcterms:created>
  <dc:creator>yin-hong</dc:creator>
  <cp:lastModifiedBy>郝宇</cp:lastModifiedBy>
  <dcterms:modified xsi:type="dcterms:W3CDTF">2026-01-30T15:31:21Z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2025-08-15T01:07:25Z</vt:filetime>
  </property>
  <property fmtid="{D5CDD505-2E9C-101B-9397-08002B2CF9AE}" pid="3" name="CRO">
    <vt:lpwstr>wqlLaW5nc29mdCBQREYgdG8gV1BTIDExNQ</vt:lpwstr>
  </property>
  <property fmtid="{D5CDD505-2E9C-101B-9397-08002B2CF9AE}" pid="4" name="ICV">
    <vt:lpwstr>8D219CD68D0241C9A5376ABA7C49063F_13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