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DCEA3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54FA6E5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8605"/>
      <w:r>
        <w:t>人员备份管理制度</w:t>
      </w:r>
      <w:bookmarkEnd w:id="0"/>
    </w:p>
    <w:p w14:paraId="10695F9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077"/>
      <w:r>
        <w:t>中达丰集团有限公司</w:t>
      </w:r>
      <w:bookmarkEnd w:id="1"/>
    </w:p>
    <w:p w14:paraId="1E8EF55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</w:pPr>
      <w:bookmarkStart w:id="2" w:name="_Toc8326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bookmarkEnd w:id="2"/>
    </w:p>
    <w:p w14:paraId="67C28CE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b w:val="0"/>
          <w:bCs w:val="0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50ABC93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1"/>
        <w:rPr>
          <w:rFonts w:ascii="宋体" w:hAnsi="宋体" w:eastAsia="宋体" w:cs="宋体"/>
          <w:sz w:val="28"/>
          <w:szCs w:val="28"/>
        </w:rPr>
      </w:pPr>
      <w:bookmarkStart w:id="3" w:name="_Toc1812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2391CB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7DFE60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08AD6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人员备份管理制度（ZDFJT-ITSS-RYBFGL）</w:t>
            </w:r>
          </w:p>
        </w:tc>
      </w:tr>
      <w:tr w14:paraId="37EB1E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4BECEE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6" w:type="dxa"/>
            <w:gridSpan w:val="4"/>
          </w:tcPr>
          <w:p w14:paraId="48171F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6F6020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7472CA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44F67C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3" w:type="dxa"/>
          </w:tcPr>
          <w:p w14:paraId="0287D8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0C87F4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24EAAC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1C2705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6DC7F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49478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14A182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0B0211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8" w:lineRule="auto"/>
              <w:ind w:left="57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庄霞</w:t>
            </w:r>
          </w:p>
        </w:tc>
        <w:tc>
          <w:tcPr>
            <w:tcW w:w="1953" w:type="dxa"/>
          </w:tcPr>
          <w:p w14:paraId="1965A5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19503F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35A1A74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EC1FB2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5C1A5EF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84158C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FE5942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EB519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30E4504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4E397D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6D8B8FD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759F6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5409F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5F6F5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7D1DCA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2BF63AD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14C968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1E7ADF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03279D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67392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151BCC6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A0AA6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75E1EEF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EE16E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07BD9D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39CB484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C06C69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5" w:type="default"/>
          <w:pgSz w:w="11906" w:h="16839"/>
          <w:pgMar w:top="1431" w:right="1127" w:bottom="1233" w:left="1696" w:header="0" w:footer="107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2276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4C72B4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76724C7">
          <w:pPr>
            <w:pStyle w:val="16"/>
            <w:tabs>
              <w:tab w:val="right" w:leader="dot" w:pos="8488"/>
            </w:tabs>
          </w:pPr>
          <w:bookmarkStart w:id="12" w:name="_GoBack"/>
          <w:bookmarkEnd w:id="12"/>
          <w:r>
            <w:rPr>
              <w:rFonts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_Toc28605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人员备份管理制度</w:t>
          </w:r>
          <w:r>
            <w:tab/>
          </w:r>
          <w:r>
            <w:fldChar w:fldCharType="begin"/>
          </w:r>
          <w:r>
            <w:instrText xml:space="preserve"> PAGEREF _Toc28605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8F21FB4">
          <w:pPr>
            <w:pStyle w:val="16"/>
            <w:tabs>
              <w:tab w:val="right" w:leader="dot" w:pos="848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_Toc1077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_Toc1077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845C5FC">
          <w:pPr>
            <w:pStyle w:val="16"/>
            <w:tabs>
              <w:tab w:val="right" w:leader="dot" w:pos="848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_Toc8326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6"/>
              <w:lang w:val="en-US" w:eastAsia="zh-CN"/>
            </w:rPr>
            <w:t>2025年4月4日</w:t>
          </w:r>
          <w:r>
            <w:tab/>
          </w:r>
          <w:r>
            <w:fldChar w:fldCharType="begin"/>
          </w:r>
          <w:r>
            <w:instrText xml:space="preserve"> PAGEREF _Toc8326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9C932D8">
          <w:pPr>
            <w:pStyle w:val="17"/>
            <w:tabs>
              <w:tab w:val="right" w:leader="dot" w:pos="848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_Toc1812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_Toc1812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B803194">
          <w:pPr>
            <w:pStyle w:val="16"/>
            <w:tabs>
              <w:tab w:val="right" w:leader="dot" w:pos="848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_Toc1753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_Toc1753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996B3A7">
          <w:pPr>
            <w:pStyle w:val="16"/>
            <w:tabs>
              <w:tab w:val="right" w:leader="dot" w:pos="848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_Toc31600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名词解释</w:t>
          </w:r>
          <w:r>
            <w:tab/>
          </w:r>
          <w:r>
            <w:fldChar w:fldCharType="begin"/>
          </w:r>
          <w:r>
            <w:instrText xml:space="preserve"> PAGEREF _Toc31600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60DC94B">
          <w:pPr>
            <w:pStyle w:val="16"/>
            <w:tabs>
              <w:tab w:val="right" w:leader="dot" w:pos="848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_Toc22375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_Toc22375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94FAAC5">
          <w:pPr>
            <w:pStyle w:val="16"/>
            <w:tabs>
              <w:tab w:val="right" w:leader="dot" w:pos="848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_Toc5629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备份流程及说明</w:t>
          </w:r>
          <w:r>
            <w:tab/>
          </w:r>
          <w:r>
            <w:fldChar w:fldCharType="begin"/>
          </w:r>
          <w:r>
            <w:instrText xml:space="preserve"> PAGEREF _Toc5629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2643C803">
          <w:pPr>
            <w:pStyle w:val="16"/>
            <w:tabs>
              <w:tab w:val="right" w:leader="dot" w:pos="848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_Toc9144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责任说明</w:t>
          </w:r>
          <w:r>
            <w:tab/>
          </w:r>
          <w:r>
            <w:fldChar w:fldCharType="begin"/>
          </w:r>
          <w:r>
            <w:instrText xml:space="preserve"> PAGEREF _Toc9144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7BF526B">
          <w:pPr>
            <w:pStyle w:val="16"/>
            <w:tabs>
              <w:tab w:val="right" w:leader="dot" w:pos="848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_Toc6975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_Toc6975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04DE031D">
          <w:pPr>
            <w:pStyle w:val="16"/>
            <w:tabs>
              <w:tab w:val="right" w:leader="dot" w:pos="848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_Toc6899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rPr>
              <w:rFonts w:hint="eastAsia"/>
              <w:lang w:val="en-US" w:eastAsia="zh-CN"/>
            </w:rPr>
            <w:t>主要考核指标</w:t>
          </w:r>
          <w:r>
            <w:tab/>
          </w:r>
          <w:r>
            <w:fldChar w:fldCharType="begin"/>
          </w:r>
          <w:r>
            <w:instrText xml:space="preserve"> PAGEREF _Toc6899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938B69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宋体" w:hAnsi="宋体" w:eastAsia="宋体" w:cs="宋体"/>
              <w:szCs w:val="21"/>
            </w:rPr>
            <w:fldChar w:fldCharType="end"/>
          </w:r>
        </w:p>
      </w:sdtContent>
    </w:sdt>
    <w:p w14:paraId="487556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footerReference r:id="rId6" w:type="default"/>
          <w:pgSz w:w="11906" w:h="16839"/>
          <w:pgMar w:top="1431" w:right="1710" w:bottom="1234" w:left="1708" w:header="0" w:footer="1070" w:gutter="0"/>
          <w:cols w:space="720" w:num="1"/>
        </w:sectPr>
      </w:pPr>
    </w:p>
    <w:p w14:paraId="189E3D6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753"/>
      <w:r>
        <w:t>目的</w:t>
      </w:r>
      <w:bookmarkEnd w:id="4"/>
    </w:p>
    <w:p w14:paraId="2D9A023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为保证公司运维服务水平和运维服务可持续性，确保为客户提供连续可靠的服务，特制定本制度。</w:t>
      </w:r>
    </w:p>
    <w:p w14:paraId="5BDC1FC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31600"/>
      <w:r>
        <w:t>名词解释</w:t>
      </w:r>
      <w:bookmarkEnd w:id="5"/>
    </w:p>
    <w:p w14:paraId="79EE08F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AB备份制度：是指一个岗位或环节由两人兼顾，A岗是业务主办人员，B岗是业务协办人员。当A岗因休假、培训等原因不在岗时，由熟悉A岗业务的B岗代行承办业务，保证工作的持续高效有序运转的一种工作制度。</w:t>
      </w:r>
    </w:p>
    <w:p w14:paraId="617A12B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2375"/>
      <w:r>
        <w:t>适用范围</w:t>
      </w:r>
      <w:bookmarkEnd w:id="6"/>
    </w:p>
    <w:p w14:paraId="7187F7FB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本制度适用于公司运维业务中关键岗位。</w:t>
      </w:r>
    </w:p>
    <w:p w14:paraId="1F8D64F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5629"/>
      <w:r>
        <w:t>备份流程及说明</w:t>
      </w:r>
      <w:bookmarkEnd w:id="7"/>
    </w:p>
    <w:p w14:paraId="4A08CC29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B岗人选的选择要求：A岗的直接下属（优秀下属）、同级（同岗位）或者上级，对A岗主要业务及常规工作有一定的了解，能够在管理时间内熟悉A岗工作。</w:t>
      </w:r>
    </w:p>
    <w:p w14:paraId="6A4B1CC2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AB岗备份清单征集整合流程：人力资源部发布通知—人事专员梳理清单—运维业务分管副总审核—人力资源部分管领导审核—人力资源部备案。</w:t>
      </w:r>
    </w:p>
    <w:p w14:paraId="15C4C0DD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AB岗备份触发：A岗人员请假(≥3天）及以上则触发该制度，A岗需要提前3天和对应B岗进行工作交接。且正式休假前3天在公司OA上发布备份通知，告知休假起止时间与备份人员姓名。当发生紧急情况，A岗电话告知B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。</w:t>
      </w:r>
    </w:p>
    <w:p w14:paraId="7CC598FD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开岗进行交接，B应主动承接A岗职责。</w:t>
      </w:r>
    </w:p>
    <w:p w14:paraId="3D50491E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上岗：在A正式休假后，B岗正式接任其工作，并对工作期间的工作结果负责。在此期间内，如遇到难以处理事项可向A岗本人或A岗上级进行咨询，A岗休假期间应保持电话的畅通。</w:t>
      </w:r>
    </w:p>
    <w:p w14:paraId="50B33B71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工作交接：休假时间结束，B岗应告知A岗，在岗期间处理工作的有关情况，并将有关文件资料移交A岗责任人。</w:t>
      </w:r>
    </w:p>
    <w:p w14:paraId="50C98CE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9144"/>
      <w:r>
        <w:t>责任说明</w:t>
      </w:r>
      <w:bookmarkEnd w:id="8"/>
    </w:p>
    <w:p w14:paraId="17C83F59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将AB岗责任人合作和配合情况纳入年度考核内容，A岗责任人离开岗位未及时交代B岗位责任人，影响工作的将追究A岗责任人的责任；</w:t>
      </w:r>
    </w:p>
    <w:p w14:paraId="4E41A25F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B岗责任人在顶岗期间出现问题的，追究B岗责任人责任；造成不良后果，出现客户投诉的，按公司有关规定追究相关负责人和相关人员的责任。</w:t>
      </w:r>
    </w:p>
    <w:p w14:paraId="6E5FE41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6975"/>
      <w:r>
        <w:t>附则</w:t>
      </w:r>
      <w:bookmarkEnd w:id="9"/>
    </w:p>
    <w:p w14:paraId="1BD7BA63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9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本制度由人力资源部负责解释、修订。</w:t>
      </w:r>
    </w:p>
    <w:p w14:paraId="7452F9B6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3" w:line="219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本制度自发布之日起执行。</w:t>
      </w:r>
    </w:p>
    <w:p w14:paraId="11013DAE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3" w:line="219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8"/>
          <w:sz w:val="24"/>
          <w:szCs w:val="24"/>
        </w:rPr>
        <w:t>附件</w:t>
      </w:r>
    </w:p>
    <w:p w14:paraId="26D431D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15732"/>
      <w:bookmarkStart w:id="11" w:name="_Toc6899"/>
      <w:r>
        <w:rPr>
          <w:rFonts w:hint="eastAsia"/>
          <w:lang w:val="en-US" w:eastAsia="zh-CN"/>
        </w:rPr>
        <w:t>主要考核指标</w:t>
      </w:r>
      <w:bookmarkEnd w:id="10"/>
      <w:bookmarkEnd w:id="11"/>
    </w:p>
    <w:tbl>
      <w:tblPr>
        <w:tblStyle w:val="24"/>
        <w:tblW w:w="8401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40"/>
        <w:gridCol w:w="1500"/>
        <w:gridCol w:w="3760"/>
        <w:gridCol w:w="1116"/>
        <w:gridCol w:w="885"/>
      </w:tblGrid>
      <w:tr w14:paraId="2F22C6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140" w:type="dxa"/>
            <w:shd w:val="clear" w:color="auto" w:fill="C0C0C0"/>
            <w:vAlign w:val="center"/>
          </w:tcPr>
          <w:p w14:paraId="19A5C9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500" w:type="dxa"/>
            <w:shd w:val="clear" w:color="auto" w:fill="C0C0C0"/>
            <w:vAlign w:val="center"/>
          </w:tcPr>
          <w:p w14:paraId="20CD7E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3760" w:type="dxa"/>
            <w:shd w:val="clear" w:color="auto" w:fill="C0C0C0"/>
            <w:vAlign w:val="center"/>
          </w:tcPr>
          <w:p w14:paraId="15A162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116" w:type="dxa"/>
            <w:shd w:val="clear" w:color="auto" w:fill="C0C0C0"/>
            <w:vAlign w:val="center"/>
          </w:tcPr>
          <w:p w14:paraId="1AEEB2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885" w:type="dxa"/>
            <w:shd w:val="clear" w:color="auto" w:fill="C0C0C0"/>
            <w:vAlign w:val="center"/>
          </w:tcPr>
          <w:p w14:paraId="22CBAD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5861F6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140" w:type="dxa"/>
          </w:tcPr>
          <w:p w14:paraId="19AFC2B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00" w:type="dxa"/>
          </w:tcPr>
          <w:p w14:paraId="710A578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季度备份达成率</w:t>
            </w:r>
          </w:p>
        </w:tc>
        <w:tc>
          <w:tcPr>
            <w:tcW w:w="3760" w:type="dxa"/>
          </w:tcPr>
          <w:p w14:paraId="1148635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实际备份成功人数/计划备份人数*100%</w:t>
            </w:r>
          </w:p>
        </w:tc>
        <w:tc>
          <w:tcPr>
            <w:tcW w:w="1116" w:type="dxa"/>
          </w:tcPr>
          <w:p w14:paraId="5181E4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按季度</w:t>
            </w:r>
          </w:p>
        </w:tc>
        <w:tc>
          <w:tcPr>
            <w:tcW w:w="885" w:type="dxa"/>
          </w:tcPr>
          <w:p w14:paraId="144CDA4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≥90%</w:t>
            </w:r>
          </w:p>
        </w:tc>
      </w:tr>
    </w:tbl>
    <w:p w14:paraId="0B3E7E98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sectPr>
      <w:footerReference r:id="rId7" w:type="default"/>
      <w:pgSz w:w="11906" w:h="16839"/>
      <w:pgMar w:top="1431" w:right="1785" w:bottom="1373" w:left="1686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071FB1">
    <w:pPr>
      <w:spacing w:line="166" w:lineRule="auto"/>
      <w:ind w:left="4226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72ABC0">
    <w:pPr>
      <w:spacing w:line="167" w:lineRule="auto"/>
      <w:ind w:left="4209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083CB9">
    <w:pPr>
      <w:spacing w:line="165" w:lineRule="auto"/>
      <w:ind w:left="4229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6A19BE6"/>
    <w:multiLevelType w:val="singleLevel"/>
    <w:tmpl w:val="B6A19BE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CD5E6D4"/>
    <w:multiLevelType w:val="singleLevel"/>
    <w:tmpl w:val="BCD5E6D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8F83CC6"/>
    <w:multiLevelType w:val="singleLevel"/>
    <w:tmpl w:val="58F83C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05661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931</Words>
  <Characters>981</Characters>
  <Lines>0</Lines>
  <Paragraphs>0</Paragraphs>
  <TotalTime>0</TotalTime>
  <ScaleCrop>false</ScaleCrop>
  <LinksUpToDate>false</LinksUpToDate>
  <CharactersWithSpaces>1021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2025-08-19T20:20:00Z</dcterms:created>
  <dc:creator>谢永刚</dc:creator>
  <cp:lastModifiedBy>郝宇</cp:lastModifiedBy>
  <dcterms:modified xsi:type="dcterms:W3CDTF">2026-01-30T15:37:18Z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2025-09-02T18:32:26Z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5C2274D589DD4FAE898296AFEDDEE53F_13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