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4A46E5">
      <w:pPr>
        <w:pStyle w:val="33"/>
        <w:keepNext w:val="0"/>
        <w:keepLines w:val="0"/>
        <w:pageBreakBefore w:val="0"/>
        <w:widowControl w:val="0"/>
        <w:kinsoku w:val="0"/>
        <w:wordWrap/>
        <w:overflowPunct/>
        <w:topLinePunct w:val="0"/>
        <w:autoSpaceDE w:val="0"/>
        <w:autoSpaceDN w:val="0"/>
        <w:bidi w:val="0"/>
        <w:adjustRightInd w:val="0"/>
        <w:snapToGrid w:val="0"/>
      </w:pPr>
    </w:p>
    <w:p w14:paraId="1C71677A">
      <w:pPr>
        <w:pStyle w:val="33"/>
        <w:keepNext w:val="0"/>
        <w:keepLines w:val="0"/>
        <w:pageBreakBefore w:val="0"/>
        <w:widowControl w:val="0"/>
        <w:kinsoku w:val="0"/>
        <w:wordWrap/>
        <w:overflowPunct/>
        <w:topLinePunct w:val="0"/>
        <w:autoSpaceDE w:val="0"/>
        <w:autoSpaceDN w:val="0"/>
        <w:bidi w:val="0"/>
        <w:adjustRightInd w:val="0"/>
        <w:snapToGrid w:val="0"/>
      </w:pPr>
      <w:bookmarkStart w:id="0" w:name="_Toc31001"/>
      <w:r>
        <w:t>服务报告管理程序</w:t>
      </w:r>
      <w:bookmarkEnd w:id="0"/>
    </w:p>
    <w:p w14:paraId="033A20DF">
      <w:pPr>
        <w:pStyle w:val="34"/>
        <w:keepNext w:val="0"/>
        <w:keepLines w:val="0"/>
        <w:pageBreakBefore w:val="0"/>
        <w:widowControl w:val="0"/>
        <w:kinsoku w:val="0"/>
        <w:wordWrap/>
        <w:overflowPunct/>
        <w:topLinePunct w:val="0"/>
        <w:autoSpaceDE w:val="0"/>
        <w:autoSpaceDN w:val="0"/>
        <w:bidi w:val="0"/>
        <w:adjustRightInd w:val="0"/>
        <w:snapToGrid w:val="0"/>
      </w:pPr>
      <w:bookmarkStart w:id="1" w:name="_Toc15063"/>
      <w:r>
        <w:t>中达丰集团有限公司</w:t>
      </w:r>
      <w:bookmarkEnd w:id="1"/>
    </w:p>
    <w:p w14:paraId="552276BE">
      <w:pPr>
        <w:keepNext w:val="0"/>
        <w:keepLines w:val="0"/>
        <w:pageBreakBefore w:val="0"/>
        <w:widowControl w:val="0"/>
        <w:kinsoku w:val="0"/>
        <w:wordWrap/>
        <w:overflowPunct/>
        <w:topLinePunct w:val="0"/>
        <w:autoSpaceDE w:val="0"/>
        <w:autoSpaceDN w:val="0"/>
        <w:bidi w:val="0"/>
        <w:adjustRightInd w:val="0"/>
        <w:snapToGrid w:val="0"/>
        <w:spacing w:before="275"/>
        <w:ind w:left="3285"/>
        <w:textAlignment w:val="baseline"/>
        <w:rPr>
          <w:rFonts w:ascii="宋体" w:hAnsi="宋体" w:eastAsia="宋体" w:cs="宋体"/>
          <w:sz w:val="36"/>
          <w:szCs w:val="36"/>
        </w:rPr>
      </w:pPr>
      <w:r>
        <w:rPr>
          <w:rFonts w:ascii="宋体" w:hAnsi="宋体" w:eastAsia="宋体" w:cs="宋体"/>
          <w:spacing w:val="-2"/>
          <w:sz w:val="36"/>
          <w:szCs w:val="36"/>
        </w:rPr>
        <w:t>2025-0</w:t>
      </w:r>
      <w:r>
        <w:rPr>
          <w:rFonts w:hint="eastAsia" w:ascii="宋体" w:hAnsi="宋体" w:cs="宋体"/>
          <w:spacing w:val="-2"/>
          <w:sz w:val="36"/>
          <w:szCs w:val="36"/>
          <w:lang w:val="en-US" w:eastAsia="zh-CN"/>
        </w:rPr>
        <w:t>4</w:t>
      </w:r>
      <w:r>
        <w:rPr>
          <w:rFonts w:ascii="宋体" w:hAnsi="宋体" w:eastAsia="宋体" w:cs="宋体"/>
          <w:spacing w:val="-2"/>
          <w:sz w:val="36"/>
          <w:szCs w:val="36"/>
        </w:rPr>
        <w:t>-04</w:t>
      </w:r>
    </w:p>
    <w:p w14:paraId="09A8081D">
      <w:pPr>
        <w:keepNext w:val="0"/>
        <w:keepLines w:val="0"/>
        <w:pageBreakBefore w:val="0"/>
        <w:widowControl w:val="0"/>
        <w:kinsoku w:val="0"/>
        <w:wordWrap/>
        <w:overflowPunct/>
        <w:topLinePunct w:val="0"/>
        <w:autoSpaceDE w:val="0"/>
        <w:autoSpaceDN w:val="0"/>
        <w:bidi w:val="0"/>
        <w:adjustRightInd w:val="0"/>
        <w:snapToGrid w:val="0"/>
        <w:spacing w:before="196"/>
        <w:ind w:left="3699"/>
        <w:rPr>
          <w:rFonts w:ascii="宋体" w:hAnsi="宋体" w:eastAsia="宋体" w:cs="宋体"/>
          <w:sz w:val="24"/>
          <w:szCs w:val="24"/>
        </w:rPr>
      </w:pPr>
    </w:p>
    <w:p w14:paraId="0138F569">
      <w:pPr>
        <w:keepNext w:val="0"/>
        <w:keepLines w:val="0"/>
        <w:pageBreakBefore w:val="0"/>
        <w:widowControl w:val="0"/>
        <w:kinsoku w:val="0"/>
        <w:wordWrap/>
        <w:overflowPunct/>
        <w:topLinePunct w:val="0"/>
        <w:autoSpaceDE w:val="0"/>
        <w:autoSpaceDN w:val="0"/>
        <w:bidi w:val="0"/>
        <w:adjustRightInd w:val="0"/>
        <w:snapToGrid w:val="0"/>
        <w:rPr>
          <w:rFonts w:ascii="宋体" w:hAnsi="宋体" w:eastAsia="宋体" w:cs="宋体"/>
          <w:sz w:val="24"/>
          <w:szCs w:val="24"/>
        </w:rPr>
        <w:sectPr>
          <w:pgSz w:w="11906" w:h="16839"/>
          <w:pgMar w:top="1431" w:right="1785" w:bottom="0" w:left="1785" w:header="0" w:footer="0" w:gutter="0"/>
          <w:cols w:space="720" w:num="1"/>
        </w:sectPr>
      </w:pPr>
    </w:p>
    <w:p w14:paraId="2A43608E">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710"/>
        <w:outlineLvl w:val="0"/>
        <w:rPr>
          <w:rFonts w:ascii="宋体" w:hAnsi="宋体" w:eastAsia="宋体" w:cs="宋体"/>
          <w:sz w:val="28"/>
          <w:szCs w:val="28"/>
        </w:rPr>
      </w:pPr>
      <w:bookmarkStart w:id="2" w:name="_Toc25707"/>
      <w:r>
        <w:rPr>
          <w:rFonts w:ascii="宋体" w:hAnsi="宋体" w:eastAsia="宋体" w:cs="宋体"/>
          <w:spacing w:val="-3"/>
          <w:sz w:val="28"/>
          <w:szCs w:val="28"/>
        </w:rPr>
        <w:t>文档信息</w:t>
      </w:r>
      <w:bookmarkEnd w:id="2"/>
    </w:p>
    <w:p w14:paraId="390870A7">
      <w:pPr>
        <w:keepNext w:val="0"/>
        <w:keepLines w:val="0"/>
        <w:pageBreakBefore w:val="0"/>
        <w:widowControl w:val="0"/>
        <w:kinsoku w:val="0"/>
        <w:wordWrap/>
        <w:overflowPunct/>
        <w:topLinePunct w:val="0"/>
        <w:autoSpaceDE w:val="0"/>
        <w:autoSpaceDN w:val="0"/>
        <w:bidi w:val="0"/>
        <w:adjustRightInd w:val="0"/>
        <w:snapToGrid w:val="0"/>
        <w:spacing w:line="131" w:lineRule="exact"/>
      </w:pPr>
    </w:p>
    <w:tbl>
      <w:tblPr>
        <w:tblStyle w:val="24"/>
        <w:tblW w:w="9072"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846"/>
        <w:gridCol w:w="1699"/>
        <w:gridCol w:w="2017"/>
        <w:gridCol w:w="1557"/>
        <w:gridCol w:w="1953"/>
      </w:tblGrid>
      <w:tr w14:paraId="613C54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846" w:type="dxa"/>
          </w:tcPr>
          <w:p w14:paraId="17AB697E">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296"/>
              <w:rPr>
                <w:rFonts w:ascii="宋体" w:hAnsi="宋体" w:eastAsia="宋体" w:cs="宋体"/>
                <w:sz w:val="21"/>
                <w:szCs w:val="21"/>
              </w:rPr>
            </w:pPr>
            <w:r>
              <w:rPr>
                <w:rFonts w:ascii="宋体" w:hAnsi="宋体" w:eastAsia="宋体" w:cs="宋体"/>
                <w:spacing w:val="-2"/>
                <w:sz w:val="21"/>
                <w:szCs w:val="21"/>
              </w:rPr>
              <w:t>文档名称编号</w:t>
            </w:r>
          </w:p>
        </w:tc>
        <w:tc>
          <w:tcPr>
            <w:tcW w:w="7226" w:type="dxa"/>
            <w:gridSpan w:val="4"/>
          </w:tcPr>
          <w:p w14:paraId="7D53A5F0">
            <w:pPr>
              <w:keepNext w:val="0"/>
              <w:keepLines w:val="0"/>
              <w:pageBreakBefore w:val="0"/>
              <w:widowControl w:val="0"/>
              <w:kinsoku w:val="0"/>
              <w:wordWrap/>
              <w:overflowPunct/>
              <w:topLinePunct w:val="0"/>
              <w:autoSpaceDE w:val="0"/>
              <w:autoSpaceDN w:val="0"/>
              <w:bidi w:val="0"/>
              <w:adjustRightInd w:val="0"/>
              <w:snapToGrid w:val="0"/>
              <w:spacing w:before="200" w:line="218" w:lineRule="auto"/>
              <w:ind w:left="108"/>
              <w:rPr>
                <w:rFonts w:ascii="宋体" w:hAnsi="宋体" w:eastAsia="宋体" w:cs="宋体"/>
                <w:sz w:val="21"/>
                <w:szCs w:val="21"/>
              </w:rPr>
            </w:pPr>
            <w:r>
              <w:rPr>
                <w:rFonts w:ascii="宋体" w:hAnsi="宋体" w:eastAsia="宋体" w:cs="宋体"/>
                <w:spacing w:val="-1"/>
                <w:sz w:val="21"/>
                <w:szCs w:val="21"/>
              </w:rPr>
              <w:t>服务报告管理程序（ZDFJT-ITSS-FWBGGL）</w:t>
            </w:r>
          </w:p>
        </w:tc>
      </w:tr>
      <w:tr w14:paraId="6F10E4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846" w:type="dxa"/>
          </w:tcPr>
          <w:p w14:paraId="20AC644C">
            <w:pPr>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506"/>
              <w:rPr>
                <w:rFonts w:ascii="宋体" w:hAnsi="宋体" w:eastAsia="宋体" w:cs="宋体"/>
                <w:sz w:val="21"/>
                <w:szCs w:val="21"/>
              </w:rPr>
            </w:pPr>
            <w:r>
              <w:rPr>
                <w:rFonts w:ascii="宋体" w:hAnsi="宋体" w:eastAsia="宋体" w:cs="宋体"/>
                <w:spacing w:val="-2"/>
                <w:sz w:val="21"/>
                <w:szCs w:val="21"/>
              </w:rPr>
              <w:t>编制单位</w:t>
            </w:r>
          </w:p>
        </w:tc>
        <w:tc>
          <w:tcPr>
            <w:tcW w:w="7226" w:type="dxa"/>
            <w:gridSpan w:val="4"/>
          </w:tcPr>
          <w:p w14:paraId="3C1C413D">
            <w:pPr>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rPr>
                <w:rFonts w:ascii="宋体" w:hAnsi="宋体" w:eastAsia="宋体" w:cs="宋体"/>
                <w:sz w:val="21"/>
                <w:szCs w:val="21"/>
              </w:rPr>
            </w:pPr>
            <w:r>
              <w:rPr>
                <w:rFonts w:ascii="宋体" w:hAnsi="宋体" w:eastAsia="宋体" w:cs="宋体"/>
                <w:spacing w:val="-1"/>
                <w:sz w:val="21"/>
                <w:szCs w:val="21"/>
              </w:rPr>
              <w:t>中达丰集团有限公司</w:t>
            </w:r>
          </w:p>
        </w:tc>
      </w:tr>
      <w:tr w14:paraId="783843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7" w:hRule="atLeast"/>
        </w:trPr>
        <w:tc>
          <w:tcPr>
            <w:tcW w:w="1846" w:type="dxa"/>
          </w:tcPr>
          <w:p w14:paraId="16734FAC">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06"/>
              <w:rPr>
                <w:rFonts w:ascii="宋体" w:hAnsi="宋体" w:eastAsia="宋体" w:cs="宋体"/>
                <w:sz w:val="21"/>
                <w:szCs w:val="21"/>
              </w:rPr>
            </w:pPr>
            <w:r>
              <w:rPr>
                <w:rFonts w:ascii="宋体" w:hAnsi="宋体" w:eastAsia="宋体" w:cs="宋体"/>
                <w:spacing w:val="-2"/>
                <w:sz w:val="21"/>
                <w:szCs w:val="21"/>
              </w:rPr>
              <w:t>文档版本</w:t>
            </w:r>
          </w:p>
        </w:tc>
        <w:tc>
          <w:tcPr>
            <w:tcW w:w="1699" w:type="dxa"/>
          </w:tcPr>
          <w:p w14:paraId="65830427">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431"/>
              <w:rPr>
                <w:rFonts w:ascii="宋体" w:hAnsi="宋体" w:eastAsia="宋体" w:cs="宋体"/>
                <w:sz w:val="21"/>
                <w:szCs w:val="21"/>
              </w:rPr>
            </w:pPr>
            <w:r>
              <w:rPr>
                <w:rFonts w:ascii="宋体" w:hAnsi="宋体" w:eastAsia="宋体" w:cs="宋体"/>
                <w:spacing w:val="-2"/>
                <w:sz w:val="21"/>
                <w:szCs w:val="21"/>
              </w:rPr>
              <w:t>版本日期</w:t>
            </w:r>
          </w:p>
        </w:tc>
        <w:tc>
          <w:tcPr>
            <w:tcW w:w="2017" w:type="dxa"/>
          </w:tcPr>
          <w:p w14:paraId="23282BA8">
            <w:pPr>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592"/>
              <w:rPr>
                <w:rFonts w:ascii="宋体" w:hAnsi="宋体" w:eastAsia="宋体" w:cs="宋体"/>
                <w:sz w:val="21"/>
                <w:szCs w:val="21"/>
              </w:rPr>
            </w:pPr>
            <w:r>
              <w:rPr>
                <w:rFonts w:ascii="宋体" w:hAnsi="宋体" w:eastAsia="宋体" w:cs="宋体"/>
                <w:spacing w:val="-2"/>
                <w:sz w:val="21"/>
                <w:szCs w:val="21"/>
              </w:rPr>
              <w:t>版本说明</w:t>
            </w:r>
          </w:p>
        </w:tc>
        <w:tc>
          <w:tcPr>
            <w:tcW w:w="1557" w:type="dxa"/>
          </w:tcPr>
          <w:p w14:paraId="6618E1C2">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574"/>
              <w:rPr>
                <w:rFonts w:ascii="宋体" w:hAnsi="宋体" w:eastAsia="宋体" w:cs="宋体"/>
                <w:sz w:val="21"/>
                <w:szCs w:val="21"/>
              </w:rPr>
            </w:pPr>
            <w:r>
              <w:rPr>
                <w:rFonts w:ascii="宋体" w:hAnsi="宋体" w:eastAsia="宋体" w:cs="宋体"/>
                <w:spacing w:val="-3"/>
                <w:sz w:val="21"/>
                <w:szCs w:val="21"/>
              </w:rPr>
              <w:t>作者</w:t>
            </w:r>
          </w:p>
        </w:tc>
        <w:tc>
          <w:tcPr>
            <w:tcW w:w="1953" w:type="dxa"/>
          </w:tcPr>
          <w:p w14:paraId="4D181705">
            <w:pPr>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781"/>
              <w:rPr>
                <w:rFonts w:ascii="宋体" w:hAnsi="宋体" w:eastAsia="宋体" w:cs="宋体"/>
                <w:sz w:val="21"/>
                <w:szCs w:val="21"/>
              </w:rPr>
            </w:pPr>
            <w:r>
              <w:rPr>
                <w:rFonts w:ascii="宋体" w:hAnsi="宋体" w:eastAsia="宋体" w:cs="宋体"/>
                <w:spacing w:val="-5"/>
                <w:sz w:val="21"/>
                <w:szCs w:val="21"/>
              </w:rPr>
              <w:t>审核</w:t>
            </w:r>
          </w:p>
        </w:tc>
      </w:tr>
      <w:tr w14:paraId="7D7BD6A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846" w:type="dxa"/>
          </w:tcPr>
          <w:p w14:paraId="1AEDE953">
            <w:pPr>
              <w:keepNext w:val="0"/>
              <w:keepLines w:val="0"/>
              <w:pageBreakBefore w:val="0"/>
              <w:widowControl w:val="0"/>
              <w:kinsoku w:val="0"/>
              <w:wordWrap/>
              <w:overflowPunct/>
              <w:topLinePunct w:val="0"/>
              <w:autoSpaceDE w:val="0"/>
              <w:autoSpaceDN w:val="0"/>
              <w:bidi w:val="0"/>
              <w:adjustRightInd w:val="0"/>
              <w:snapToGrid w:val="0"/>
              <w:spacing w:before="163" w:line="239" w:lineRule="auto"/>
              <w:ind w:left="709"/>
              <w:rPr>
                <w:rFonts w:ascii="宋体" w:hAnsi="宋体" w:eastAsia="宋体" w:cs="宋体"/>
                <w:sz w:val="21"/>
                <w:szCs w:val="21"/>
              </w:rPr>
            </w:pPr>
            <w:r>
              <w:rPr>
                <w:rFonts w:ascii="宋体" w:hAnsi="宋体" w:eastAsia="宋体" w:cs="宋体"/>
                <w:spacing w:val="-1"/>
                <w:sz w:val="21"/>
                <w:szCs w:val="21"/>
              </w:rPr>
              <w:t>V1.0</w:t>
            </w:r>
          </w:p>
        </w:tc>
        <w:tc>
          <w:tcPr>
            <w:tcW w:w="1699" w:type="dxa"/>
          </w:tcPr>
          <w:p w14:paraId="649265E3">
            <w:pPr>
              <w:keepNext w:val="0"/>
              <w:keepLines w:val="0"/>
              <w:pageBreakBefore w:val="0"/>
              <w:widowControl w:val="0"/>
              <w:kinsoku w:val="0"/>
              <w:wordWrap/>
              <w:overflowPunct/>
              <w:topLinePunct w:val="0"/>
              <w:autoSpaceDE w:val="0"/>
              <w:autoSpaceDN w:val="0"/>
              <w:bidi w:val="0"/>
              <w:adjustRightInd w:val="0"/>
              <w:snapToGrid w:val="0"/>
              <w:spacing w:before="163"/>
              <w:ind w:left="433"/>
              <w:rPr>
                <w:rFonts w:ascii="宋体" w:hAnsi="宋体" w:eastAsia="宋体" w:cs="宋体"/>
                <w:sz w:val="21"/>
                <w:szCs w:val="21"/>
              </w:rPr>
            </w:pPr>
            <w:r>
              <w:rPr>
                <w:rFonts w:ascii="宋体" w:hAnsi="宋体" w:eastAsia="宋体" w:cs="宋体"/>
                <w:spacing w:val="-2"/>
                <w:sz w:val="21"/>
                <w:szCs w:val="21"/>
              </w:rPr>
              <w:t>2025-4-4</w:t>
            </w:r>
          </w:p>
        </w:tc>
        <w:tc>
          <w:tcPr>
            <w:tcW w:w="2017" w:type="dxa"/>
          </w:tcPr>
          <w:p w14:paraId="290FF660">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595"/>
              <w:rPr>
                <w:rFonts w:ascii="宋体" w:hAnsi="宋体" w:eastAsia="宋体" w:cs="宋体"/>
                <w:sz w:val="21"/>
                <w:szCs w:val="21"/>
              </w:rPr>
            </w:pPr>
            <w:r>
              <w:rPr>
                <w:rFonts w:ascii="宋体" w:hAnsi="宋体" w:eastAsia="宋体" w:cs="宋体"/>
                <w:spacing w:val="-3"/>
                <w:sz w:val="21"/>
                <w:szCs w:val="21"/>
              </w:rPr>
              <w:t>发布版本</w:t>
            </w:r>
          </w:p>
        </w:tc>
        <w:tc>
          <w:tcPr>
            <w:tcW w:w="1557" w:type="dxa"/>
          </w:tcPr>
          <w:p w14:paraId="52C0949F">
            <w:pPr>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479"/>
              <w:rPr>
                <w:rFonts w:ascii="宋体" w:hAnsi="宋体" w:eastAsia="宋体" w:cs="宋体"/>
                <w:sz w:val="21"/>
                <w:szCs w:val="21"/>
              </w:rPr>
            </w:pPr>
            <w:r>
              <w:rPr>
                <w:rFonts w:hint="eastAsia" w:ascii="宋体" w:hAnsi="宋体" w:eastAsia="宋体" w:cs="宋体"/>
                <w:sz w:val="21"/>
                <w:szCs w:val="21"/>
                <w:lang w:val="en-US" w:eastAsia="zh-CN"/>
              </w:rPr>
              <w:t>肖龙莽</w:t>
            </w:r>
          </w:p>
        </w:tc>
        <w:tc>
          <w:tcPr>
            <w:tcW w:w="1953" w:type="dxa"/>
          </w:tcPr>
          <w:p w14:paraId="0F6E6724">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671"/>
              <w:rPr>
                <w:rFonts w:ascii="宋体" w:hAnsi="宋体" w:eastAsia="宋体" w:cs="宋体"/>
                <w:sz w:val="21"/>
                <w:szCs w:val="21"/>
              </w:rPr>
            </w:pPr>
            <w:r>
              <w:rPr>
                <w:rFonts w:ascii="宋体" w:hAnsi="宋体" w:eastAsia="宋体" w:cs="宋体"/>
                <w:spacing w:val="-3"/>
                <w:sz w:val="21"/>
                <w:szCs w:val="21"/>
              </w:rPr>
              <w:t>吴向阳</w:t>
            </w:r>
          </w:p>
        </w:tc>
      </w:tr>
      <w:tr w14:paraId="40D512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5402216F">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3B280767">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7368DAC9">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5256C939">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4A4A0E40">
            <w:pPr>
              <w:pStyle w:val="25"/>
              <w:keepNext w:val="0"/>
              <w:keepLines w:val="0"/>
              <w:pageBreakBefore w:val="0"/>
              <w:widowControl w:val="0"/>
              <w:kinsoku w:val="0"/>
              <w:wordWrap/>
              <w:overflowPunct/>
              <w:topLinePunct w:val="0"/>
              <w:autoSpaceDE w:val="0"/>
              <w:autoSpaceDN w:val="0"/>
              <w:bidi w:val="0"/>
              <w:adjustRightInd w:val="0"/>
              <w:snapToGrid w:val="0"/>
            </w:pPr>
          </w:p>
        </w:tc>
      </w:tr>
      <w:tr w14:paraId="7B5B4C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528" w:hRule="atLeast"/>
        </w:trPr>
        <w:tc>
          <w:tcPr>
            <w:tcW w:w="1846" w:type="dxa"/>
          </w:tcPr>
          <w:p w14:paraId="5A4CE41A">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15739C97">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248DA3CB">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7C0C3451">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1DEAFD99">
            <w:pPr>
              <w:pStyle w:val="25"/>
              <w:keepNext w:val="0"/>
              <w:keepLines w:val="0"/>
              <w:pageBreakBefore w:val="0"/>
              <w:widowControl w:val="0"/>
              <w:kinsoku w:val="0"/>
              <w:wordWrap/>
              <w:overflowPunct/>
              <w:topLinePunct w:val="0"/>
              <w:autoSpaceDE w:val="0"/>
              <w:autoSpaceDN w:val="0"/>
              <w:bidi w:val="0"/>
              <w:adjustRightInd w:val="0"/>
              <w:snapToGrid w:val="0"/>
            </w:pPr>
          </w:p>
        </w:tc>
      </w:tr>
      <w:tr w14:paraId="24BF86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118D4C67">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209EF28E">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038AF627">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200B99AB">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60D4D67D">
            <w:pPr>
              <w:pStyle w:val="25"/>
              <w:keepNext w:val="0"/>
              <w:keepLines w:val="0"/>
              <w:pageBreakBefore w:val="0"/>
              <w:widowControl w:val="0"/>
              <w:kinsoku w:val="0"/>
              <w:wordWrap/>
              <w:overflowPunct/>
              <w:topLinePunct w:val="0"/>
              <w:autoSpaceDE w:val="0"/>
              <w:autoSpaceDN w:val="0"/>
              <w:bidi w:val="0"/>
              <w:adjustRightInd w:val="0"/>
              <w:snapToGrid w:val="0"/>
            </w:pPr>
          </w:p>
        </w:tc>
      </w:tr>
      <w:tr w14:paraId="3C7FAF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846" w:type="dxa"/>
          </w:tcPr>
          <w:p w14:paraId="7339FBE3">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1C0F6449">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013A6EC0">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563C9E1A">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429F0CAF">
            <w:pPr>
              <w:pStyle w:val="25"/>
              <w:keepNext w:val="0"/>
              <w:keepLines w:val="0"/>
              <w:pageBreakBefore w:val="0"/>
              <w:widowControl w:val="0"/>
              <w:kinsoku w:val="0"/>
              <w:wordWrap/>
              <w:overflowPunct/>
              <w:topLinePunct w:val="0"/>
              <w:autoSpaceDE w:val="0"/>
              <w:autoSpaceDN w:val="0"/>
              <w:bidi w:val="0"/>
              <w:adjustRightInd w:val="0"/>
              <w:snapToGrid w:val="0"/>
            </w:pPr>
          </w:p>
        </w:tc>
      </w:tr>
      <w:tr w14:paraId="01FE3F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846" w:type="dxa"/>
          </w:tcPr>
          <w:p w14:paraId="58EF97B6">
            <w:pPr>
              <w:pStyle w:val="25"/>
              <w:keepNext w:val="0"/>
              <w:keepLines w:val="0"/>
              <w:pageBreakBefore w:val="0"/>
              <w:widowControl w:val="0"/>
              <w:kinsoku w:val="0"/>
              <w:wordWrap/>
              <w:overflowPunct/>
              <w:topLinePunct w:val="0"/>
              <w:autoSpaceDE w:val="0"/>
              <w:autoSpaceDN w:val="0"/>
              <w:bidi w:val="0"/>
              <w:adjustRightInd w:val="0"/>
              <w:snapToGrid w:val="0"/>
            </w:pPr>
          </w:p>
        </w:tc>
        <w:tc>
          <w:tcPr>
            <w:tcW w:w="1699" w:type="dxa"/>
          </w:tcPr>
          <w:p w14:paraId="2BC9E720">
            <w:pPr>
              <w:pStyle w:val="25"/>
              <w:keepNext w:val="0"/>
              <w:keepLines w:val="0"/>
              <w:pageBreakBefore w:val="0"/>
              <w:widowControl w:val="0"/>
              <w:kinsoku w:val="0"/>
              <w:wordWrap/>
              <w:overflowPunct/>
              <w:topLinePunct w:val="0"/>
              <w:autoSpaceDE w:val="0"/>
              <w:autoSpaceDN w:val="0"/>
              <w:bidi w:val="0"/>
              <w:adjustRightInd w:val="0"/>
              <w:snapToGrid w:val="0"/>
            </w:pPr>
          </w:p>
        </w:tc>
        <w:tc>
          <w:tcPr>
            <w:tcW w:w="2017" w:type="dxa"/>
          </w:tcPr>
          <w:p w14:paraId="1CA18956">
            <w:pPr>
              <w:pStyle w:val="25"/>
              <w:keepNext w:val="0"/>
              <w:keepLines w:val="0"/>
              <w:pageBreakBefore w:val="0"/>
              <w:widowControl w:val="0"/>
              <w:kinsoku w:val="0"/>
              <w:wordWrap/>
              <w:overflowPunct/>
              <w:topLinePunct w:val="0"/>
              <w:autoSpaceDE w:val="0"/>
              <w:autoSpaceDN w:val="0"/>
              <w:bidi w:val="0"/>
              <w:adjustRightInd w:val="0"/>
              <w:snapToGrid w:val="0"/>
            </w:pPr>
          </w:p>
        </w:tc>
        <w:tc>
          <w:tcPr>
            <w:tcW w:w="1557" w:type="dxa"/>
          </w:tcPr>
          <w:p w14:paraId="3CDC4BAB">
            <w:pPr>
              <w:pStyle w:val="25"/>
              <w:keepNext w:val="0"/>
              <w:keepLines w:val="0"/>
              <w:pageBreakBefore w:val="0"/>
              <w:widowControl w:val="0"/>
              <w:kinsoku w:val="0"/>
              <w:wordWrap/>
              <w:overflowPunct/>
              <w:topLinePunct w:val="0"/>
              <w:autoSpaceDE w:val="0"/>
              <w:autoSpaceDN w:val="0"/>
              <w:bidi w:val="0"/>
              <w:adjustRightInd w:val="0"/>
              <w:snapToGrid w:val="0"/>
            </w:pPr>
          </w:p>
        </w:tc>
        <w:tc>
          <w:tcPr>
            <w:tcW w:w="1953" w:type="dxa"/>
          </w:tcPr>
          <w:p w14:paraId="2C42C321">
            <w:pPr>
              <w:pStyle w:val="25"/>
              <w:keepNext w:val="0"/>
              <w:keepLines w:val="0"/>
              <w:pageBreakBefore w:val="0"/>
              <w:widowControl w:val="0"/>
              <w:kinsoku w:val="0"/>
              <w:wordWrap/>
              <w:overflowPunct/>
              <w:topLinePunct w:val="0"/>
              <w:autoSpaceDE w:val="0"/>
              <w:autoSpaceDN w:val="0"/>
              <w:bidi w:val="0"/>
              <w:adjustRightInd w:val="0"/>
              <w:snapToGrid w:val="0"/>
            </w:pPr>
          </w:p>
        </w:tc>
      </w:tr>
    </w:tbl>
    <w:p w14:paraId="1BBC8439">
      <w:pPr>
        <w:pStyle w:val="12"/>
        <w:keepNext w:val="0"/>
        <w:keepLines w:val="0"/>
        <w:pageBreakBefore w:val="0"/>
        <w:widowControl w:val="0"/>
        <w:kinsoku w:val="0"/>
        <w:wordWrap/>
        <w:overflowPunct/>
        <w:topLinePunct w:val="0"/>
        <w:autoSpaceDE w:val="0"/>
        <w:autoSpaceDN w:val="0"/>
        <w:bidi w:val="0"/>
        <w:adjustRightInd w:val="0"/>
        <w:snapToGrid w:val="0"/>
      </w:pPr>
    </w:p>
    <w:p w14:paraId="0165ADEE">
      <w:pPr>
        <w:keepNext w:val="0"/>
        <w:keepLines w:val="0"/>
        <w:pageBreakBefore w:val="0"/>
        <w:widowControl w:val="0"/>
        <w:kinsoku w:val="0"/>
        <w:wordWrap/>
        <w:overflowPunct/>
        <w:topLinePunct w:val="0"/>
        <w:autoSpaceDE w:val="0"/>
        <w:autoSpaceDN w:val="0"/>
        <w:bidi w:val="0"/>
        <w:adjustRightInd w:val="0"/>
        <w:snapToGrid w:val="0"/>
        <w:sectPr>
          <w:pgSz w:w="11906" w:h="16839"/>
          <w:pgMar w:top="1431" w:right="1127" w:bottom="0" w:left="1696" w:header="0" w:footer="0" w:gutter="0"/>
          <w:cols w:space="720" w:num="1"/>
        </w:sectPr>
      </w:pPr>
    </w:p>
    <w:sdt>
      <w:sdtPr>
        <w:rPr>
          <w:rFonts w:ascii="宋体" w:hAnsi="宋体" w:eastAsia="宋体" w:cs="Arial"/>
          <w:snapToGrid w:val="0"/>
          <w:color w:val="000000"/>
          <w:kern w:val="0"/>
          <w:sz w:val="21"/>
          <w:szCs w:val="21"/>
          <w:lang w:val="en-US" w:eastAsia="en-US" w:bidi="ar-SA"/>
        </w:rPr>
        <w:id w:val="147475912"/>
        <w:docPartObj>
          <w:docPartGallery w:val="Table of Contents"/>
          <w:docPartUnique/>
        </w:docPartObj>
      </w:sdtPr>
      <w:sdtEndPr>
        <w:rPr>
          <w:rFonts w:ascii="Times New Roman" w:hAnsi="Times New Roman" w:eastAsia="Times New Roman" w:cs="Times New Roman"/>
          <w:snapToGrid w:val="0"/>
          <w:color w:val="000000"/>
          <w:kern w:val="0"/>
          <w:sz w:val="21"/>
          <w:szCs w:val="21"/>
          <w:lang w:val="en-US" w:eastAsia="en-US" w:bidi="ar-SA"/>
        </w:rPr>
      </w:sdtEndPr>
      <w:sdtContent>
        <w:p w14:paraId="3BCF268B">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pPr>
          <w:r>
            <w:rPr>
              <w:rFonts w:ascii="宋体" w:hAnsi="宋体" w:eastAsia="宋体"/>
              <w:sz w:val="21"/>
            </w:rPr>
            <w:t>目录</w:t>
          </w:r>
        </w:p>
        <w:p w14:paraId="6112171A">
          <w:pPr>
            <w:pStyle w:val="16"/>
            <w:tabs>
              <w:tab w:val="right" w:leader="dot" w:pos="8501"/>
            </w:tabs>
          </w:pPr>
          <w:bookmarkStart w:id="24" w:name="_GoBack"/>
          <w:bookmarkEnd w:id="24"/>
          <w:r>
            <w:rPr>
              <w:rFonts w:ascii="Times New Roman" w:hAnsi="Times New Roman" w:eastAsia="Times New Roman" w:cs="Times New Roman"/>
              <w:sz w:val="21"/>
              <w:szCs w:val="21"/>
            </w:rPr>
            <w:fldChar w:fldCharType="begin"/>
          </w:r>
          <w:r>
            <w:rPr>
              <w:rFonts w:ascii="Times New Roman" w:hAnsi="Times New Roman" w:eastAsia="Times New Roman" w:cs="Times New Roman"/>
              <w:sz w:val="21"/>
              <w:szCs w:val="21"/>
            </w:rPr>
            <w:instrText xml:space="preserve">TOC \o "1-3" \h \u </w:instrText>
          </w:r>
          <w:r>
            <w:rPr>
              <w:rFonts w:ascii="Times New Roman" w:hAnsi="Times New Roman" w:eastAsia="Times New Roman" w:cs="Times New Roman"/>
              <w:sz w:val="21"/>
              <w:szCs w:val="21"/>
            </w:rPr>
            <w:fldChar w:fldCharType="separate"/>
          </w: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_Toc31001 </w:instrText>
          </w:r>
          <w:r>
            <w:rPr>
              <w:rFonts w:ascii="Times New Roman" w:hAnsi="Times New Roman" w:eastAsia="Times New Roman" w:cs="Times New Roman"/>
              <w:szCs w:val="21"/>
            </w:rPr>
            <w:fldChar w:fldCharType="separate"/>
          </w:r>
          <w:r>
            <w:t>服务报告管理程序</w:t>
          </w:r>
          <w:r>
            <w:tab/>
          </w:r>
          <w:r>
            <w:fldChar w:fldCharType="begin"/>
          </w:r>
          <w:r>
            <w:instrText xml:space="preserve"> PAGEREF _Toc31001 \h </w:instrText>
          </w:r>
          <w:r>
            <w:fldChar w:fldCharType="separate"/>
          </w:r>
          <w:r>
            <w:t>1</w:t>
          </w:r>
          <w:r>
            <w:fldChar w:fldCharType="end"/>
          </w:r>
          <w:r>
            <w:rPr>
              <w:rFonts w:ascii="Times New Roman" w:hAnsi="Times New Roman" w:eastAsia="Times New Roman" w:cs="Times New Roman"/>
              <w:szCs w:val="21"/>
            </w:rPr>
            <w:fldChar w:fldCharType="end"/>
          </w:r>
        </w:p>
        <w:p w14:paraId="32F272D2">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_Toc15063 </w:instrText>
          </w:r>
          <w:r>
            <w:rPr>
              <w:rFonts w:ascii="Times New Roman" w:hAnsi="Times New Roman" w:eastAsia="Times New Roman" w:cs="Times New Roman"/>
              <w:szCs w:val="21"/>
            </w:rPr>
            <w:fldChar w:fldCharType="separate"/>
          </w:r>
          <w:r>
            <w:t>中达丰集团有限公司</w:t>
          </w:r>
          <w:r>
            <w:tab/>
          </w:r>
          <w:r>
            <w:fldChar w:fldCharType="begin"/>
          </w:r>
          <w:r>
            <w:instrText xml:space="preserve"> PAGEREF _Toc15063 \h </w:instrText>
          </w:r>
          <w:r>
            <w:fldChar w:fldCharType="separate"/>
          </w:r>
          <w:r>
            <w:t>1</w:t>
          </w:r>
          <w:r>
            <w:fldChar w:fldCharType="end"/>
          </w:r>
          <w:r>
            <w:rPr>
              <w:rFonts w:ascii="Times New Roman" w:hAnsi="Times New Roman" w:eastAsia="Times New Roman" w:cs="Times New Roman"/>
              <w:szCs w:val="21"/>
            </w:rPr>
            <w:fldChar w:fldCharType="end"/>
          </w:r>
        </w:p>
        <w:p w14:paraId="22634DDA">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_Toc25707 </w:instrText>
          </w:r>
          <w:r>
            <w:rPr>
              <w:rFonts w:ascii="Times New Roman" w:hAnsi="Times New Roman" w:eastAsia="Times New Roman" w:cs="Times New Roman"/>
              <w:szCs w:val="21"/>
            </w:rPr>
            <w:fldChar w:fldCharType="separate"/>
          </w:r>
          <w:r>
            <w:rPr>
              <w:rFonts w:ascii="宋体" w:hAnsi="宋体" w:eastAsia="宋体" w:cs="宋体"/>
              <w:spacing w:val="-3"/>
              <w:szCs w:val="28"/>
            </w:rPr>
            <w:t>文档信息</w:t>
          </w:r>
          <w:r>
            <w:tab/>
          </w:r>
          <w:r>
            <w:fldChar w:fldCharType="begin"/>
          </w:r>
          <w:r>
            <w:instrText xml:space="preserve"> PAGEREF _Toc25707 \h </w:instrText>
          </w:r>
          <w:r>
            <w:fldChar w:fldCharType="separate"/>
          </w:r>
          <w:r>
            <w:t>2</w:t>
          </w:r>
          <w:r>
            <w:fldChar w:fldCharType="end"/>
          </w:r>
          <w:r>
            <w:rPr>
              <w:rFonts w:ascii="Times New Roman" w:hAnsi="Times New Roman" w:eastAsia="Times New Roman" w:cs="Times New Roman"/>
              <w:szCs w:val="21"/>
            </w:rPr>
            <w:fldChar w:fldCharType="end"/>
          </w:r>
        </w:p>
        <w:p w14:paraId="26537424">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_Toc9272 </w:instrText>
          </w:r>
          <w:r>
            <w:rPr>
              <w:rFonts w:ascii="Times New Roman" w:hAnsi="Times New Roman" w:eastAsia="Times New Roman" w:cs="Times New Roman"/>
              <w:szCs w:val="21"/>
            </w:rPr>
            <w:fldChar w:fldCharType="separate"/>
          </w:r>
          <w:r>
            <w:rPr>
              <w:rFonts w:hint="default"/>
            </w:rPr>
            <w:t xml:space="preserve">1. </w:t>
          </w:r>
          <w:r>
            <w:t>概述</w:t>
          </w:r>
          <w:r>
            <w:tab/>
          </w:r>
          <w:r>
            <w:fldChar w:fldCharType="begin"/>
          </w:r>
          <w:r>
            <w:instrText xml:space="preserve"> PAGEREF _Toc9272 \h </w:instrText>
          </w:r>
          <w:r>
            <w:fldChar w:fldCharType="separate"/>
          </w:r>
          <w:r>
            <w:t>4</w:t>
          </w:r>
          <w:r>
            <w:fldChar w:fldCharType="end"/>
          </w:r>
          <w:r>
            <w:rPr>
              <w:rFonts w:ascii="Times New Roman" w:hAnsi="Times New Roman" w:eastAsia="Times New Roman" w:cs="Times New Roman"/>
              <w:szCs w:val="21"/>
            </w:rPr>
            <w:fldChar w:fldCharType="end"/>
          </w:r>
        </w:p>
        <w:p w14:paraId="5A4CB6A2">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_Toc21610 </w:instrText>
          </w:r>
          <w:r>
            <w:rPr>
              <w:rFonts w:ascii="Times New Roman" w:hAnsi="Times New Roman" w:eastAsia="Times New Roman" w:cs="Times New Roman"/>
              <w:szCs w:val="21"/>
            </w:rPr>
            <w:fldChar w:fldCharType="separate"/>
          </w:r>
          <w:r>
            <w:rPr>
              <w:rFonts w:hint="default"/>
            </w:rPr>
            <w:t xml:space="preserve">1.1. </w:t>
          </w:r>
          <w:r>
            <w:t>目的</w:t>
          </w:r>
          <w:r>
            <w:tab/>
          </w:r>
          <w:r>
            <w:fldChar w:fldCharType="begin"/>
          </w:r>
          <w:r>
            <w:instrText xml:space="preserve"> PAGEREF _Toc21610 \h </w:instrText>
          </w:r>
          <w:r>
            <w:fldChar w:fldCharType="separate"/>
          </w:r>
          <w:r>
            <w:t>4</w:t>
          </w:r>
          <w:r>
            <w:fldChar w:fldCharType="end"/>
          </w:r>
          <w:r>
            <w:rPr>
              <w:rFonts w:ascii="Times New Roman" w:hAnsi="Times New Roman" w:eastAsia="Times New Roman" w:cs="Times New Roman"/>
              <w:szCs w:val="21"/>
            </w:rPr>
            <w:fldChar w:fldCharType="end"/>
          </w:r>
        </w:p>
        <w:p w14:paraId="6CF165AF">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_Toc17783 </w:instrText>
          </w:r>
          <w:r>
            <w:rPr>
              <w:rFonts w:ascii="Times New Roman" w:hAnsi="Times New Roman" w:eastAsia="Times New Roman" w:cs="Times New Roman"/>
              <w:szCs w:val="21"/>
            </w:rPr>
            <w:fldChar w:fldCharType="separate"/>
          </w:r>
          <w:r>
            <w:rPr>
              <w:rFonts w:hint="default"/>
            </w:rPr>
            <w:t xml:space="preserve">1.2. </w:t>
          </w:r>
          <w:r>
            <w:t>范围</w:t>
          </w:r>
          <w:r>
            <w:tab/>
          </w:r>
          <w:r>
            <w:fldChar w:fldCharType="begin"/>
          </w:r>
          <w:r>
            <w:instrText xml:space="preserve"> PAGEREF _Toc17783 \h </w:instrText>
          </w:r>
          <w:r>
            <w:fldChar w:fldCharType="separate"/>
          </w:r>
          <w:r>
            <w:t>4</w:t>
          </w:r>
          <w:r>
            <w:fldChar w:fldCharType="end"/>
          </w:r>
          <w:r>
            <w:rPr>
              <w:rFonts w:ascii="Times New Roman" w:hAnsi="Times New Roman" w:eastAsia="Times New Roman" w:cs="Times New Roman"/>
              <w:szCs w:val="21"/>
            </w:rPr>
            <w:fldChar w:fldCharType="end"/>
          </w:r>
        </w:p>
        <w:p w14:paraId="6CDD0B7B">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_Toc15381 </w:instrText>
          </w:r>
          <w:r>
            <w:rPr>
              <w:rFonts w:ascii="Times New Roman" w:hAnsi="Times New Roman" w:eastAsia="Times New Roman" w:cs="Times New Roman"/>
              <w:szCs w:val="21"/>
            </w:rPr>
            <w:fldChar w:fldCharType="separate"/>
          </w:r>
          <w:r>
            <w:rPr>
              <w:rFonts w:hint="default"/>
            </w:rPr>
            <w:t xml:space="preserve">2. </w:t>
          </w:r>
          <w:r>
            <w:t>服务报告（总结）管理流程</w:t>
          </w:r>
          <w:r>
            <w:tab/>
          </w:r>
          <w:r>
            <w:fldChar w:fldCharType="begin"/>
          </w:r>
          <w:r>
            <w:instrText xml:space="preserve"> PAGEREF _Toc15381 \h </w:instrText>
          </w:r>
          <w:r>
            <w:fldChar w:fldCharType="separate"/>
          </w:r>
          <w:r>
            <w:t>4</w:t>
          </w:r>
          <w:r>
            <w:fldChar w:fldCharType="end"/>
          </w:r>
          <w:r>
            <w:rPr>
              <w:rFonts w:ascii="Times New Roman" w:hAnsi="Times New Roman" w:eastAsia="Times New Roman" w:cs="Times New Roman"/>
              <w:szCs w:val="21"/>
            </w:rPr>
            <w:fldChar w:fldCharType="end"/>
          </w:r>
        </w:p>
        <w:p w14:paraId="35F0B81B">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_Toc20190 </w:instrText>
          </w:r>
          <w:r>
            <w:rPr>
              <w:rFonts w:ascii="Times New Roman" w:hAnsi="Times New Roman" w:eastAsia="Times New Roman" w:cs="Times New Roman"/>
              <w:szCs w:val="21"/>
            </w:rPr>
            <w:fldChar w:fldCharType="separate"/>
          </w:r>
          <w:r>
            <w:rPr>
              <w:rFonts w:hint="default"/>
            </w:rPr>
            <w:t xml:space="preserve">2.1. </w:t>
          </w:r>
          <w:r>
            <w:t>角色及职责</w:t>
          </w:r>
          <w:r>
            <w:tab/>
          </w:r>
          <w:r>
            <w:fldChar w:fldCharType="begin"/>
          </w:r>
          <w:r>
            <w:instrText xml:space="preserve"> PAGEREF _Toc20190 \h </w:instrText>
          </w:r>
          <w:r>
            <w:fldChar w:fldCharType="separate"/>
          </w:r>
          <w:r>
            <w:t>4</w:t>
          </w:r>
          <w:r>
            <w:fldChar w:fldCharType="end"/>
          </w:r>
          <w:r>
            <w:rPr>
              <w:rFonts w:ascii="Times New Roman" w:hAnsi="Times New Roman" w:eastAsia="Times New Roman" w:cs="Times New Roman"/>
              <w:szCs w:val="21"/>
            </w:rPr>
            <w:fldChar w:fldCharType="end"/>
          </w:r>
        </w:p>
        <w:p w14:paraId="5CD08526">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_Toc30407 </w:instrText>
          </w:r>
          <w:r>
            <w:rPr>
              <w:rFonts w:ascii="Times New Roman" w:hAnsi="Times New Roman" w:eastAsia="Times New Roman" w:cs="Times New Roman"/>
              <w:szCs w:val="21"/>
            </w:rPr>
            <w:fldChar w:fldCharType="separate"/>
          </w:r>
          <w:r>
            <w:rPr>
              <w:rFonts w:hint="default"/>
            </w:rPr>
            <w:t xml:space="preserve">2.2. </w:t>
          </w:r>
          <w:r>
            <w:rPr>
              <w:rFonts w:hint="eastAsia"/>
              <w:lang w:val="en-US" w:eastAsia="zh-CN"/>
            </w:rPr>
            <w:t>服务报告</w:t>
          </w:r>
          <w:r>
            <w:t>分类</w:t>
          </w:r>
          <w:r>
            <w:tab/>
          </w:r>
          <w:r>
            <w:fldChar w:fldCharType="begin"/>
          </w:r>
          <w:r>
            <w:instrText xml:space="preserve"> PAGEREF _Toc30407 \h </w:instrText>
          </w:r>
          <w:r>
            <w:fldChar w:fldCharType="separate"/>
          </w:r>
          <w:r>
            <w:t>4</w:t>
          </w:r>
          <w:r>
            <w:fldChar w:fldCharType="end"/>
          </w:r>
          <w:r>
            <w:rPr>
              <w:rFonts w:ascii="Times New Roman" w:hAnsi="Times New Roman" w:eastAsia="Times New Roman" w:cs="Times New Roman"/>
              <w:szCs w:val="21"/>
            </w:rPr>
            <w:fldChar w:fldCharType="end"/>
          </w:r>
        </w:p>
        <w:p w14:paraId="7663069E">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_Toc20906 </w:instrText>
          </w:r>
          <w:r>
            <w:rPr>
              <w:rFonts w:ascii="Times New Roman" w:hAnsi="Times New Roman" w:eastAsia="Times New Roman" w:cs="Times New Roman"/>
              <w:szCs w:val="21"/>
            </w:rPr>
            <w:fldChar w:fldCharType="separate"/>
          </w:r>
          <w:r>
            <w:rPr>
              <w:rFonts w:hint="default"/>
            </w:rPr>
            <w:t xml:space="preserve">2.3. </w:t>
          </w:r>
          <w:r>
            <w:t>服务报告</w:t>
          </w:r>
          <w:r>
            <w:rPr>
              <w:rFonts w:hint="eastAsia"/>
              <w:lang w:val="en-US" w:eastAsia="zh-CN"/>
            </w:rPr>
            <w:t>管理</w:t>
          </w:r>
          <w:r>
            <w:t>策略</w:t>
          </w:r>
          <w:r>
            <w:rPr>
              <w:rFonts w:hint="eastAsia"/>
              <w:lang w:val="en-US" w:eastAsia="zh-CN"/>
            </w:rPr>
            <w:t>与原则</w:t>
          </w:r>
          <w:r>
            <w:tab/>
          </w:r>
          <w:r>
            <w:fldChar w:fldCharType="begin"/>
          </w:r>
          <w:r>
            <w:instrText xml:space="preserve"> PAGEREF _Toc20906 \h </w:instrText>
          </w:r>
          <w:r>
            <w:fldChar w:fldCharType="separate"/>
          </w:r>
          <w:r>
            <w:t>4</w:t>
          </w:r>
          <w:r>
            <w:fldChar w:fldCharType="end"/>
          </w:r>
          <w:r>
            <w:rPr>
              <w:rFonts w:ascii="Times New Roman" w:hAnsi="Times New Roman" w:eastAsia="Times New Roman" w:cs="Times New Roman"/>
              <w:szCs w:val="21"/>
            </w:rPr>
            <w:fldChar w:fldCharType="end"/>
          </w:r>
        </w:p>
        <w:p w14:paraId="27E51A4D">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_Toc11992 </w:instrText>
          </w:r>
          <w:r>
            <w:rPr>
              <w:rFonts w:ascii="Times New Roman" w:hAnsi="Times New Roman" w:eastAsia="Times New Roman" w:cs="Times New Roman"/>
              <w:szCs w:val="21"/>
            </w:rPr>
            <w:fldChar w:fldCharType="separate"/>
          </w:r>
          <w:r>
            <w:rPr>
              <w:rFonts w:hint="default"/>
            </w:rPr>
            <w:t xml:space="preserve">2.4. </w:t>
          </w:r>
          <w:r>
            <w:t>服务报告管理</w:t>
          </w:r>
          <w:r>
            <w:tab/>
          </w:r>
          <w:r>
            <w:fldChar w:fldCharType="begin"/>
          </w:r>
          <w:r>
            <w:instrText xml:space="preserve"> PAGEREF _Toc11992 \h </w:instrText>
          </w:r>
          <w:r>
            <w:fldChar w:fldCharType="separate"/>
          </w:r>
          <w:r>
            <w:t>5</w:t>
          </w:r>
          <w:r>
            <w:fldChar w:fldCharType="end"/>
          </w:r>
          <w:r>
            <w:rPr>
              <w:rFonts w:ascii="Times New Roman" w:hAnsi="Times New Roman" w:eastAsia="Times New Roman" w:cs="Times New Roman"/>
              <w:szCs w:val="21"/>
            </w:rPr>
            <w:fldChar w:fldCharType="end"/>
          </w:r>
        </w:p>
        <w:p w14:paraId="6FB73119">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_Toc23739 </w:instrText>
          </w:r>
          <w:r>
            <w:rPr>
              <w:rFonts w:ascii="Times New Roman" w:hAnsi="Times New Roman" w:eastAsia="Times New Roman" w:cs="Times New Roman"/>
              <w:szCs w:val="21"/>
            </w:rPr>
            <w:fldChar w:fldCharType="separate"/>
          </w:r>
          <w:r>
            <w:rPr>
              <w:rFonts w:hint="default"/>
            </w:rPr>
            <w:t xml:space="preserve">2.5. </w:t>
          </w:r>
          <w:r>
            <w:rPr>
              <w:rFonts w:hint="eastAsia"/>
              <w:lang w:val="en-US" w:eastAsia="zh-CN"/>
            </w:rPr>
            <w:t>服务报告分发</w:t>
          </w:r>
          <w:r>
            <w:tab/>
          </w:r>
          <w:r>
            <w:fldChar w:fldCharType="begin"/>
          </w:r>
          <w:r>
            <w:instrText xml:space="preserve"> PAGEREF _Toc23739 \h </w:instrText>
          </w:r>
          <w:r>
            <w:fldChar w:fldCharType="separate"/>
          </w:r>
          <w:r>
            <w:t>6</w:t>
          </w:r>
          <w:r>
            <w:fldChar w:fldCharType="end"/>
          </w:r>
          <w:r>
            <w:rPr>
              <w:rFonts w:ascii="Times New Roman" w:hAnsi="Times New Roman" w:eastAsia="Times New Roman" w:cs="Times New Roman"/>
              <w:szCs w:val="21"/>
            </w:rPr>
            <w:fldChar w:fldCharType="end"/>
          </w:r>
        </w:p>
        <w:p w14:paraId="6CA72F3B">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_Toc5633 </w:instrText>
          </w:r>
          <w:r>
            <w:rPr>
              <w:rFonts w:ascii="Times New Roman" w:hAnsi="Times New Roman" w:eastAsia="Times New Roman" w:cs="Times New Roman"/>
              <w:szCs w:val="21"/>
            </w:rPr>
            <w:fldChar w:fldCharType="separate"/>
          </w:r>
          <w:r>
            <w:rPr>
              <w:rFonts w:hint="default"/>
            </w:rPr>
            <w:t xml:space="preserve">2.5.1. </w:t>
          </w:r>
          <w:r>
            <w:rPr>
              <w:rFonts w:hint="eastAsia"/>
            </w:rPr>
            <w:t>分发对象</w:t>
          </w:r>
          <w:r>
            <w:tab/>
          </w:r>
          <w:r>
            <w:fldChar w:fldCharType="begin"/>
          </w:r>
          <w:r>
            <w:instrText xml:space="preserve"> PAGEREF _Toc5633 \h </w:instrText>
          </w:r>
          <w:r>
            <w:fldChar w:fldCharType="separate"/>
          </w:r>
          <w:r>
            <w:t>6</w:t>
          </w:r>
          <w:r>
            <w:fldChar w:fldCharType="end"/>
          </w:r>
          <w:r>
            <w:rPr>
              <w:rFonts w:ascii="Times New Roman" w:hAnsi="Times New Roman" w:eastAsia="Times New Roman" w:cs="Times New Roman"/>
              <w:szCs w:val="21"/>
            </w:rPr>
            <w:fldChar w:fldCharType="end"/>
          </w:r>
        </w:p>
        <w:p w14:paraId="43AC3B51">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_Toc10193 </w:instrText>
          </w:r>
          <w:r>
            <w:rPr>
              <w:rFonts w:ascii="Times New Roman" w:hAnsi="Times New Roman" w:eastAsia="Times New Roman" w:cs="Times New Roman"/>
              <w:szCs w:val="21"/>
            </w:rPr>
            <w:fldChar w:fldCharType="separate"/>
          </w:r>
          <w:r>
            <w:rPr>
              <w:rFonts w:hint="default"/>
            </w:rPr>
            <w:t xml:space="preserve">2.5.2. </w:t>
          </w:r>
          <w:r>
            <w:rPr>
              <w:rFonts w:hint="eastAsia"/>
            </w:rPr>
            <w:t>分发方式</w:t>
          </w:r>
          <w:r>
            <w:tab/>
          </w:r>
          <w:r>
            <w:fldChar w:fldCharType="begin"/>
          </w:r>
          <w:r>
            <w:instrText xml:space="preserve"> PAGEREF _Toc10193 \h </w:instrText>
          </w:r>
          <w:r>
            <w:fldChar w:fldCharType="separate"/>
          </w:r>
          <w:r>
            <w:t>6</w:t>
          </w:r>
          <w:r>
            <w:fldChar w:fldCharType="end"/>
          </w:r>
          <w:r>
            <w:rPr>
              <w:rFonts w:ascii="Times New Roman" w:hAnsi="Times New Roman" w:eastAsia="Times New Roman" w:cs="Times New Roman"/>
              <w:szCs w:val="21"/>
            </w:rPr>
            <w:fldChar w:fldCharType="end"/>
          </w:r>
        </w:p>
        <w:p w14:paraId="3641D728">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_Toc26150 </w:instrText>
          </w:r>
          <w:r>
            <w:rPr>
              <w:rFonts w:ascii="Times New Roman" w:hAnsi="Times New Roman" w:eastAsia="Times New Roman" w:cs="Times New Roman"/>
              <w:szCs w:val="21"/>
            </w:rPr>
            <w:fldChar w:fldCharType="separate"/>
          </w:r>
          <w:r>
            <w:rPr>
              <w:rFonts w:hint="default"/>
            </w:rPr>
            <w:t xml:space="preserve">2.5.3. </w:t>
          </w:r>
          <w:r>
            <w:rPr>
              <w:rFonts w:hint="eastAsia"/>
            </w:rPr>
            <w:t>分发时间</w:t>
          </w:r>
          <w:r>
            <w:tab/>
          </w:r>
          <w:r>
            <w:fldChar w:fldCharType="begin"/>
          </w:r>
          <w:r>
            <w:instrText xml:space="preserve"> PAGEREF _Toc26150 \h </w:instrText>
          </w:r>
          <w:r>
            <w:fldChar w:fldCharType="separate"/>
          </w:r>
          <w:r>
            <w:t>6</w:t>
          </w:r>
          <w:r>
            <w:fldChar w:fldCharType="end"/>
          </w:r>
          <w:r>
            <w:rPr>
              <w:rFonts w:ascii="Times New Roman" w:hAnsi="Times New Roman" w:eastAsia="Times New Roman" w:cs="Times New Roman"/>
              <w:szCs w:val="21"/>
            </w:rPr>
            <w:fldChar w:fldCharType="end"/>
          </w:r>
        </w:p>
        <w:p w14:paraId="15975E06">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_Toc2503 </w:instrText>
          </w:r>
          <w:r>
            <w:rPr>
              <w:rFonts w:ascii="Times New Roman" w:hAnsi="Times New Roman" w:eastAsia="Times New Roman" w:cs="Times New Roman"/>
              <w:szCs w:val="21"/>
            </w:rPr>
            <w:fldChar w:fldCharType="separate"/>
          </w:r>
          <w:r>
            <w:rPr>
              <w:rFonts w:hint="default"/>
            </w:rPr>
            <w:t xml:space="preserve">2.5.4. </w:t>
          </w:r>
          <w:r>
            <w:rPr>
              <w:rFonts w:hint="eastAsia"/>
            </w:rPr>
            <w:t>分发确认</w:t>
          </w:r>
          <w:r>
            <w:tab/>
          </w:r>
          <w:r>
            <w:fldChar w:fldCharType="begin"/>
          </w:r>
          <w:r>
            <w:instrText xml:space="preserve"> PAGEREF _Toc2503 \h </w:instrText>
          </w:r>
          <w:r>
            <w:fldChar w:fldCharType="separate"/>
          </w:r>
          <w:r>
            <w:t>6</w:t>
          </w:r>
          <w:r>
            <w:fldChar w:fldCharType="end"/>
          </w:r>
          <w:r>
            <w:rPr>
              <w:rFonts w:ascii="Times New Roman" w:hAnsi="Times New Roman" w:eastAsia="Times New Roman" w:cs="Times New Roman"/>
              <w:szCs w:val="21"/>
            </w:rPr>
            <w:fldChar w:fldCharType="end"/>
          </w:r>
        </w:p>
        <w:p w14:paraId="7FB70CBA">
          <w:pPr>
            <w:pStyle w:val="13"/>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_Toc5432 </w:instrText>
          </w:r>
          <w:r>
            <w:rPr>
              <w:rFonts w:ascii="Times New Roman" w:hAnsi="Times New Roman" w:eastAsia="Times New Roman" w:cs="Times New Roman"/>
              <w:szCs w:val="21"/>
            </w:rPr>
            <w:fldChar w:fldCharType="separate"/>
          </w:r>
          <w:r>
            <w:rPr>
              <w:rFonts w:hint="default"/>
            </w:rPr>
            <w:t xml:space="preserve">2.5.5. </w:t>
          </w:r>
          <w:r>
            <w:rPr>
              <w:rFonts w:hint="eastAsia"/>
            </w:rPr>
            <w:t>保密要求</w:t>
          </w:r>
          <w:r>
            <w:tab/>
          </w:r>
          <w:r>
            <w:fldChar w:fldCharType="begin"/>
          </w:r>
          <w:r>
            <w:instrText xml:space="preserve"> PAGEREF _Toc5432 \h </w:instrText>
          </w:r>
          <w:r>
            <w:fldChar w:fldCharType="separate"/>
          </w:r>
          <w:r>
            <w:t>6</w:t>
          </w:r>
          <w:r>
            <w:fldChar w:fldCharType="end"/>
          </w:r>
          <w:r>
            <w:rPr>
              <w:rFonts w:ascii="Times New Roman" w:hAnsi="Times New Roman" w:eastAsia="Times New Roman" w:cs="Times New Roman"/>
              <w:szCs w:val="21"/>
            </w:rPr>
            <w:fldChar w:fldCharType="end"/>
          </w:r>
        </w:p>
        <w:p w14:paraId="08D992CD">
          <w:pPr>
            <w:pStyle w:val="17"/>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_Toc6490 </w:instrText>
          </w:r>
          <w:r>
            <w:rPr>
              <w:rFonts w:ascii="Times New Roman" w:hAnsi="Times New Roman" w:eastAsia="Times New Roman" w:cs="Times New Roman"/>
              <w:szCs w:val="21"/>
            </w:rPr>
            <w:fldChar w:fldCharType="separate"/>
          </w:r>
          <w:r>
            <w:rPr>
              <w:rFonts w:hint="default"/>
            </w:rPr>
            <w:t xml:space="preserve">2.6. </w:t>
          </w:r>
          <w:r>
            <w:t>服务报告内容</w:t>
          </w:r>
          <w:r>
            <w:tab/>
          </w:r>
          <w:r>
            <w:fldChar w:fldCharType="begin"/>
          </w:r>
          <w:r>
            <w:instrText xml:space="preserve"> PAGEREF _Toc6490 \h </w:instrText>
          </w:r>
          <w:r>
            <w:fldChar w:fldCharType="separate"/>
          </w:r>
          <w:r>
            <w:t>6</w:t>
          </w:r>
          <w:r>
            <w:fldChar w:fldCharType="end"/>
          </w:r>
          <w:r>
            <w:rPr>
              <w:rFonts w:ascii="Times New Roman" w:hAnsi="Times New Roman" w:eastAsia="Times New Roman" w:cs="Times New Roman"/>
              <w:szCs w:val="21"/>
            </w:rPr>
            <w:fldChar w:fldCharType="end"/>
          </w:r>
        </w:p>
        <w:p w14:paraId="2203405A">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_Toc15683 </w:instrText>
          </w:r>
          <w:r>
            <w:rPr>
              <w:rFonts w:ascii="Times New Roman" w:hAnsi="Times New Roman" w:eastAsia="Times New Roman" w:cs="Times New Roman"/>
              <w:szCs w:val="21"/>
            </w:rPr>
            <w:fldChar w:fldCharType="separate"/>
          </w:r>
          <w:r>
            <w:rPr>
              <w:rFonts w:hint="default"/>
              <w:lang w:val="en-US" w:eastAsia="zh-CN"/>
            </w:rPr>
            <w:t>3. 关键指标</w:t>
          </w:r>
          <w:r>
            <w:tab/>
          </w:r>
          <w:r>
            <w:fldChar w:fldCharType="begin"/>
          </w:r>
          <w:r>
            <w:instrText xml:space="preserve"> PAGEREF _Toc15683 \h </w:instrText>
          </w:r>
          <w:r>
            <w:fldChar w:fldCharType="separate"/>
          </w:r>
          <w:r>
            <w:t>7</w:t>
          </w:r>
          <w:r>
            <w:fldChar w:fldCharType="end"/>
          </w:r>
          <w:r>
            <w:rPr>
              <w:rFonts w:ascii="Times New Roman" w:hAnsi="Times New Roman" w:eastAsia="Times New Roman" w:cs="Times New Roman"/>
              <w:szCs w:val="21"/>
            </w:rPr>
            <w:fldChar w:fldCharType="end"/>
          </w:r>
        </w:p>
        <w:p w14:paraId="5AD50089">
          <w:pPr>
            <w:pStyle w:val="16"/>
            <w:tabs>
              <w:tab w:val="right" w:leader="dot" w:pos="8501"/>
            </w:tabs>
          </w:pPr>
          <w:r>
            <w:rPr>
              <w:rFonts w:ascii="Times New Roman" w:hAnsi="Times New Roman" w:eastAsia="Times New Roman" w:cs="Times New Roman"/>
              <w:szCs w:val="21"/>
            </w:rPr>
            <w:fldChar w:fldCharType="begin"/>
          </w:r>
          <w:r>
            <w:rPr>
              <w:rFonts w:ascii="Times New Roman" w:hAnsi="Times New Roman" w:eastAsia="Times New Roman" w:cs="Times New Roman"/>
              <w:szCs w:val="21"/>
            </w:rPr>
            <w:instrText xml:space="preserve"> HYPERLINK \l _Toc5511 </w:instrText>
          </w:r>
          <w:r>
            <w:rPr>
              <w:rFonts w:ascii="Times New Roman" w:hAnsi="Times New Roman" w:eastAsia="Times New Roman" w:cs="Times New Roman"/>
              <w:szCs w:val="21"/>
            </w:rPr>
            <w:fldChar w:fldCharType="separate"/>
          </w:r>
          <w:r>
            <w:rPr>
              <w:rFonts w:hint="default"/>
            </w:rPr>
            <w:t xml:space="preserve">4. </w:t>
          </w:r>
          <w:r>
            <w:t>相关文件模板</w:t>
          </w:r>
          <w:r>
            <w:tab/>
          </w:r>
          <w:r>
            <w:fldChar w:fldCharType="begin"/>
          </w:r>
          <w:r>
            <w:instrText xml:space="preserve"> PAGEREF _Toc5511 \h </w:instrText>
          </w:r>
          <w:r>
            <w:fldChar w:fldCharType="separate"/>
          </w:r>
          <w:r>
            <w:t>7</w:t>
          </w:r>
          <w:r>
            <w:fldChar w:fldCharType="end"/>
          </w:r>
          <w:r>
            <w:rPr>
              <w:rFonts w:ascii="Times New Roman" w:hAnsi="Times New Roman" w:eastAsia="Times New Roman" w:cs="Times New Roman"/>
              <w:szCs w:val="21"/>
            </w:rPr>
            <w:fldChar w:fldCharType="end"/>
          </w:r>
        </w:p>
        <w:p w14:paraId="385BC151">
          <w:pPr>
            <w:keepNext w:val="0"/>
            <w:keepLines w:val="0"/>
            <w:pageBreakBefore w:val="0"/>
            <w:widowControl w:val="0"/>
            <w:kinsoku w:val="0"/>
            <w:wordWrap/>
            <w:overflowPunct/>
            <w:topLinePunct w:val="0"/>
            <w:autoSpaceDE w:val="0"/>
            <w:autoSpaceDN w:val="0"/>
            <w:bidi w:val="0"/>
            <w:adjustRightInd w:val="0"/>
            <w:snapToGrid w:val="0"/>
            <w:spacing w:line="219" w:lineRule="auto"/>
            <w:rPr>
              <w:rFonts w:ascii="Times New Roman" w:hAnsi="Times New Roman" w:eastAsia="Times New Roman" w:cs="Times New Roman"/>
              <w:snapToGrid w:val="0"/>
              <w:color w:val="000000"/>
              <w:kern w:val="0"/>
              <w:sz w:val="21"/>
              <w:szCs w:val="21"/>
              <w:lang w:val="en-US" w:eastAsia="en-US" w:bidi="ar-SA"/>
            </w:rPr>
          </w:pPr>
          <w:r>
            <w:rPr>
              <w:rFonts w:ascii="Times New Roman" w:hAnsi="Times New Roman" w:eastAsia="Times New Roman" w:cs="Times New Roman"/>
              <w:szCs w:val="21"/>
            </w:rPr>
            <w:fldChar w:fldCharType="end"/>
          </w:r>
        </w:p>
      </w:sdtContent>
    </w:sdt>
    <w:p w14:paraId="09298A1F">
      <w:pPr>
        <w:keepNext w:val="0"/>
        <w:keepLines w:val="0"/>
        <w:pageBreakBefore w:val="0"/>
        <w:widowControl w:val="0"/>
        <w:kinsoku w:val="0"/>
        <w:wordWrap/>
        <w:overflowPunct/>
        <w:topLinePunct w:val="0"/>
        <w:autoSpaceDE w:val="0"/>
        <w:autoSpaceDN w:val="0"/>
        <w:bidi w:val="0"/>
        <w:adjustRightInd w:val="0"/>
        <w:snapToGrid w:val="0"/>
        <w:spacing w:line="219" w:lineRule="auto"/>
        <w:rPr>
          <w:rFonts w:ascii="Times New Roman" w:hAnsi="Times New Roman" w:eastAsia="Times New Roman" w:cs="Times New Roman"/>
          <w:snapToGrid w:val="0"/>
          <w:color w:val="000000"/>
          <w:kern w:val="0"/>
          <w:sz w:val="21"/>
          <w:szCs w:val="21"/>
          <w:lang w:val="en-US" w:eastAsia="en-US" w:bidi="ar-SA"/>
        </w:rPr>
        <w:sectPr>
          <w:pgSz w:w="11906" w:h="16839"/>
          <w:pgMar w:top="1431" w:right="1700" w:bottom="0" w:left="1705" w:header="0" w:footer="0" w:gutter="0"/>
          <w:cols w:space="720" w:num="1"/>
        </w:sectPr>
      </w:pPr>
    </w:p>
    <w:p w14:paraId="4FAC0CFF">
      <w:pPr>
        <w:pStyle w:val="26"/>
        <w:keepNext w:val="0"/>
        <w:keepLines w:val="0"/>
        <w:pageBreakBefore w:val="0"/>
        <w:widowControl w:val="0"/>
        <w:kinsoku w:val="0"/>
        <w:wordWrap/>
        <w:overflowPunct/>
        <w:topLinePunct w:val="0"/>
        <w:autoSpaceDE w:val="0"/>
        <w:autoSpaceDN w:val="0"/>
        <w:bidi w:val="0"/>
        <w:adjustRightInd w:val="0"/>
        <w:snapToGrid w:val="0"/>
      </w:pPr>
      <w:bookmarkStart w:id="3" w:name="_Toc9272"/>
      <w:r>
        <w:t>概述</w:t>
      </w:r>
      <w:bookmarkEnd w:id="3"/>
    </w:p>
    <w:p w14:paraId="65EFC7E5">
      <w:pPr>
        <w:pStyle w:val="28"/>
        <w:keepNext w:val="0"/>
        <w:keepLines w:val="0"/>
        <w:pageBreakBefore w:val="0"/>
        <w:widowControl w:val="0"/>
        <w:kinsoku w:val="0"/>
        <w:wordWrap/>
        <w:overflowPunct/>
        <w:topLinePunct w:val="0"/>
        <w:autoSpaceDE w:val="0"/>
        <w:autoSpaceDN w:val="0"/>
        <w:bidi w:val="0"/>
        <w:adjustRightInd w:val="0"/>
        <w:snapToGrid w:val="0"/>
      </w:pPr>
      <w:bookmarkStart w:id="4" w:name="bookmark12"/>
      <w:bookmarkEnd w:id="4"/>
      <w:bookmarkStart w:id="5" w:name="_Toc21610"/>
      <w:r>
        <w:t>目的</w:t>
      </w:r>
      <w:bookmarkEnd w:id="5"/>
    </w:p>
    <w:p w14:paraId="3E9D2C28">
      <w:pPr>
        <w:pStyle w:val="27"/>
        <w:bidi w:val="0"/>
      </w:pPr>
      <w:r>
        <w:t>本文件编写的目的是为了规范运维服务团队在服务能力体系运转过程中所产生的相关服务报告和服务总结。</w:t>
      </w:r>
    </w:p>
    <w:p w14:paraId="669EAB8E">
      <w:pPr>
        <w:pStyle w:val="28"/>
        <w:keepNext w:val="0"/>
        <w:keepLines w:val="0"/>
        <w:pageBreakBefore w:val="0"/>
        <w:widowControl w:val="0"/>
        <w:kinsoku w:val="0"/>
        <w:wordWrap/>
        <w:overflowPunct/>
        <w:topLinePunct w:val="0"/>
        <w:autoSpaceDE w:val="0"/>
        <w:autoSpaceDN w:val="0"/>
        <w:bidi w:val="0"/>
        <w:adjustRightInd w:val="0"/>
        <w:snapToGrid w:val="0"/>
      </w:pPr>
      <w:bookmarkStart w:id="6" w:name="_Toc17783"/>
      <w:r>
        <w:t>范围</w:t>
      </w:r>
      <w:bookmarkEnd w:id="6"/>
    </w:p>
    <w:p w14:paraId="709E1F03">
      <w:pPr>
        <w:pStyle w:val="27"/>
        <w:keepNext w:val="0"/>
        <w:keepLines w:val="0"/>
        <w:pageBreakBefore w:val="0"/>
        <w:widowControl w:val="0"/>
        <w:kinsoku w:val="0"/>
        <w:wordWrap/>
        <w:overflowPunct/>
        <w:topLinePunct w:val="0"/>
        <w:autoSpaceDE w:val="0"/>
        <w:autoSpaceDN w:val="0"/>
        <w:bidi w:val="0"/>
        <w:adjustRightInd w:val="0"/>
        <w:snapToGrid w:val="0"/>
      </w:pPr>
      <w:r>
        <w:t>本文档适用于对运维服务能力体系各流程所产生的服务报告、服务总结的管理。</w:t>
      </w:r>
    </w:p>
    <w:p w14:paraId="0DEF7913">
      <w:pPr>
        <w:pStyle w:val="26"/>
        <w:keepNext w:val="0"/>
        <w:keepLines w:val="0"/>
        <w:pageBreakBefore w:val="0"/>
        <w:widowControl w:val="0"/>
        <w:kinsoku w:val="0"/>
        <w:wordWrap/>
        <w:overflowPunct/>
        <w:topLinePunct w:val="0"/>
        <w:autoSpaceDE w:val="0"/>
        <w:autoSpaceDN w:val="0"/>
        <w:bidi w:val="0"/>
        <w:adjustRightInd w:val="0"/>
        <w:snapToGrid w:val="0"/>
      </w:pPr>
      <w:bookmarkStart w:id="7" w:name="_Toc15381"/>
      <w:r>
        <w:t>服务报告（总结）管理流程</w:t>
      </w:r>
      <w:bookmarkEnd w:id="7"/>
    </w:p>
    <w:p w14:paraId="18378AC4">
      <w:pPr>
        <w:pStyle w:val="28"/>
        <w:keepNext w:val="0"/>
        <w:keepLines w:val="0"/>
        <w:pageBreakBefore w:val="0"/>
        <w:widowControl w:val="0"/>
        <w:kinsoku w:val="0"/>
        <w:wordWrap/>
        <w:overflowPunct/>
        <w:topLinePunct w:val="0"/>
        <w:autoSpaceDE w:val="0"/>
        <w:autoSpaceDN w:val="0"/>
        <w:bidi w:val="0"/>
        <w:adjustRightInd w:val="0"/>
        <w:snapToGrid w:val="0"/>
      </w:pPr>
      <w:bookmarkStart w:id="8" w:name="bookmark13"/>
      <w:bookmarkEnd w:id="8"/>
      <w:bookmarkStart w:id="9" w:name="_Toc20190"/>
      <w:r>
        <w:t>角色及职责</w:t>
      </w:r>
      <w:bookmarkEnd w:id="9"/>
    </w:p>
    <w:p w14:paraId="6C05ED45">
      <w:pPr>
        <w:keepNext w:val="0"/>
        <w:keepLines w:val="0"/>
        <w:pageBreakBefore w:val="0"/>
        <w:widowControl w:val="0"/>
        <w:kinsoku w:val="0"/>
        <w:wordWrap/>
        <w:overflowPunct/>
        <w:topLinePunct w:val="0"/>
        <w:autoSpaceDE w:val="0"/>
        <w:autoSpaceDN w:val="0"/>
        <w:bidi w:val="0"/>
        <w:adjustRightInd w:val="0"/>
        <w:snapToGrid w:val="0"/>
        <w:spacing w:line="50" w:lineRule="exact"/>
      </w:pPr>
    </w:p>
    <w:tbl>
      <w:tblPr>
        <w:tblStyle w:val="24"/>
        <w:tblW w:w="8706" w:type="dxa"/>
        <w:tblInd w:w="17"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833"/>
        <w:gridCol w:w="7083"/>
        <w:gridCol w:w="790"/>
      </w:tblGrid>
      <w:tr w14:paraId="6872780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98" w:hRule="atLeast"/>
        </w:trPr>
        <w:tc>
          <w:tcPr>
            <w:tcW w:w="833" w:type="dxa"/>
            <w:tcBorders>
              <w:top w:val="single" w:color="000000" w:sz="12" w:space="0"/>
              <w:left w:val="single" w:color="000000" w:sz="12" w:space="0"/>
            </w:tcBorders>
            <w:shd w:val="clear" w:color="auto" w:fill="D8D8D8"/>
          </w:tcPr>
          <w:p w14:paraId="7901F23C">
            <w:pPr>
              <w:keepNext w:val="0"/>
              <w:keepLines w:val="0"/>
              <w:pageBreakBefore w:val="0"/>
              <w:widowControl w:val="0"/>
              <w:kinsoku w:val="0"/>
              <w:wordWrap/>
              <w:overflowPunct/>
              <w:topLinePunct w:val="0"/>
              <w:autoSpaceDE w:val="0"/>
              <w:autoSpaceDN w:val="0"/>
              <w:bidi w:val="0"/>
              <w:adjustRightInd w:val="0"/>
              <w:snapToGrid w:val="0"/>
              <w:spacing w:before="286" w:line="219" w:lineRule="auto"/>
              <w:rPr>
                <w:rFonts w:ascii="宋体" w:hAnsi="宋体" w:eastAsia="宋体" w:cs="宋体"/>
                <w:sz w:val="24"/>
                <w:szCs w:val="24"/>
              </w:rPr>
            </w:pPr>
            <w:r>
              <w:rPr>
                <w:rFonts w:ascii="宋体" w:hAnsi="宋体" w:eastAsia="宋体" w:cs="宋体"/>
                <w:b/>
                <w:bCs/>
                <w:spacing w:val="-6"/>
                <w:sz w:val="24"/>
                <w:szCs w:val="24"/>
              </w:rPr>
              <w:t>角色</w:t>
            </w:r>
          </w:p>
        </w:tc>
        <w:tc>
          <w:tcPr>
            <w:tcW w:w="7083" w:type="dxa"/>
            <w:tcBorders>
              <w:top w:val="single" w:color="000000" w:sz="12" w:space="0"/>
            </w:tcBorders>
            <w:shd w:val="clear" w:color="auto" w:fill="D8D8D8"/>
          </w:tcPr>
          <w:p w14:paraId="77D0C489">
            <w:pPr>
              <w:keepNext w:val="0"/>
              <w:keepLines w:val="0"/>
              <w:pageBreakBefore w:val="0"/>
              <w:widowControl w:val="0"/>
              <w:kinsoku w:val="0"/>
              <w:wordWrap/>
              <w:overflowPunct/>
              <w:topLinePunct w:val="0"/>
              <w:autoSpaceDE w:val="0"/>
              <w:autoSpaceDN w:val="0"/>
              <w:bidi w:val="0"/>
              <w:adjustRightInd w:val="0"/>
              <w:snapToGrid w:val="0"/>
              <w:spacing w:before="286" w:line="221" w:lineRule="auto"/>
              <w:ind w:left="3294"/>
              <w:rPr>
                <w:rFonts w:ascii="宋体" w:hAnsi="宋体" w:eastAsia="宋体" w:cs="宋体"/>
                <w:sz w:val="24"/>
                <w:szCs w:val="24"/>
              </w:rPr>
            </w:pPr>
            <w:r>
              <w:rPr>
                <w:rFonts w:ascii="宋体" w:hAnsi="宋体" w:eastAsia="宋体" w:cs="宋体"/>
                <w:b/>
                <w:bCs/>
                <w:spacing w:val="-6"/>
                <w:sz w:val="24"/>
                <w:szCs w:val="24"/>
              </w:rPr>
              <w:t>职责</w:t>
            </w:r>
          </w:p>
        </w:tc>
        <w:tc>
          <w:tcPr>
            <w:tcW w:w="790" w:type="dxa"/>
            <w:tcBorders>
              <w:top w:val="single" w:color="000000" w:sz="12" w:space="0"/>
            </w:tcBorders>
            <w:shd w:val="clear" w:color="auto" w:fill="D8D8D8"/>
          </w:tcPr>
          <w:p w14:paraId="259BA8F1">
            <w:pPr>
              <w:keepNext w:val="0"/>
              <w:keepLines w:val="0"/>
              <w:pageBreakBefore w:val="0"/>
              <w:widowControl w:val="0"/>
              <w:kinsoku w:val="0"/>
              <w:wordWrap/>
              <w:overflowPunct/>
              <w:topLinePunct w:val="0"/>
              <w:autoSpaceDE w:val="0"/>
              <w:autoSpaceDN w:val="0"/>
              <w:bidi w:val="0"/>
              <w:adjustRightInd w:val="0"/>
              <w:snapToGrid w:val="0"/>
              <w:spacing w:before="286" w:line="221" w:lineRule="auto"/>
              <w:rPr>
                <w:rFonts w:hint="eastAsia" w:ascii="宋体" w:hAnsi="宋体" w:eastAsia="宋体" w:cs="宋体"/>
                <w:b/>
                <w:bCs/>
                <w:spacing w:val="-6"/>
                <w:sz w:val="24"/>
                <w:szCs w:val="24"/>
                <w:lang w:val="en-US" w:eastAsia="zh-CN"/>
              </w:rPr>
            </w:pPr>
            <w:r>
              <w:rPr>
                <w:rFonts w:hint="eastAsia" w:ascii="宋体" w:hAnsi="宋体" w:cs="宋体"/>
                <w:b/>
                <w:bCs/>
                <w:spacing w:val="-6"/>
                <w:sz w:val="24"/>
                <w:szCs w:val="24"/>
                <w:lang w:val="en-US" w:eastAsia="zh-CN"/>
              </w:rPr>
              <w:t>责任人</w:t>
            </w:r>
          </w:p>
        </w:tc>
      </w:tr>
      <w:tr w14:paraId="79B5EB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70" w:hRule="atLeast"/>
        </w:trPr>
        <w:tc>
          <w:tcPr>
            <w:tcW w:w="833" w:type="dxa"/>
            <w:tcBorders>
              <w:left w:val="single" w:color="000000" w:sz="12" w:space="0"/>
            </w:tcBorders>
          </w:tcPr>
          <w:p w14:paraId="5999BC2C">
            <w:pPr>
              <w:keepNext w:val="0"/>
              <w:keepLines w:val="0"/>
              <w:pageBreakBefore w:val="0"/>
              <w:widowControl w:val="0"/>
              <w:kinsoku w:val="0"/>
              <w:wordWrap/>
              <w:overflowPunct/>
              <w:topLinePunct w:val="0"/>
              <w:autoSpaceDE w:val="0"/>
              <w:autoSpaceDN w:val="0"/>
              <w:bidi w:val="0"/>
              <w:adjustRightInd w:val="0"/>
              <w:snapToGrid w:val="0"/>
              <w:spacing w:before="78" w:line="218" w:lineRule="auto"/>
              <w:rPr>
                <w:rFonts w:ascii="宋体" w:hAnsi="宋体" w:eastAsia="宋体" w:cs="宋体"/>
                <w:sz w:val="24"/>
                <w:szCs w:val="24"/>
              </w:rPr>
            </w:pPr>
            <w:r>
              <w:rPr>
                <w:rFonts w:ascii="宋体" w:hAnsi="宋体" w:eastAsia="宋体" w:cs="宋体"/>
                <w:spacing w:val="-2"/>
                <w:sz w:val="24"/>
                <w:szCs w:val="24"/>
              </w:rPr>
              <w:t>报告提交人</w:t>
            </w:r>
          </w:p>
        </w:tc>
        <w:tc>
          <w:tcPr>
            <w:tcW w:w="7083" w:type="dxa"/>
          </w:tcPr>
          <w:p w14:paraId="3BF11334">
            <w:pPr>
              <w:keepNext w:val="0"/>
              <w:keepLines w:val="0"/>
              <w:pageBreakBefore w:val="0"/>
              <w:widowControl w:val="0"/>
              <w:kinsoku w:val="0"/>
              <w:wordWrap/>
              <w:overflowPunct/>
              <w:topLinePunct w:val="0"/>
              <w:autoSpaceDE w:val="0"/>
              <w:autoSpaceDN w:val="0"/>
              <w:bidi w:val="0"/>
              <w:adjustRightInd w:val="0"/>
              <w:snapToGrid w:val="0"/>
              <w:spacing w:before="220" w:line="218" w:lineRule="auto"/>
              <w:ind w:left="15"/>
              <w:rPr>
                <w:rFonts w:ascii="宋体" w:hAnsi="宋体" w:eastAsia="宋体" w:cs="宋体"/>
                <w:sz w:val="21"/>
                <w:szCs w:val="21"/>
              </w:rPr>
            </w:pPr>
            <w:r>
              <w:rPr>
                <w:rFonts w:ascii="宋体" w:hAnsi="宋体" w:eastAsia="宋体" w:cs="宋体"/>
                <w:spacing w:val="-1"/>
                <w:sz w:val="21"/>
                <w:szCs w:val="21"/>
              </w:rPr>
              <w:t>●运维服务能力体系的所有报告，为服务级别管理流程提供参考</w:t>
            </w:r>
          </w:p>
          <w:p w14:paraId="3DB678DA">
            <w:pPr>
              <w:keepNext w:val="0"/>
              <w:keepLines w:val="0"/>
              <w:pageBreakBefore w:val="0"/>
              <w:widowControl w:val="0"/>
              <w:kinsoku w:val="0"/>
              <w:wordWrap/>
              <w:overflowPunct/>
              <w:topLinePunct w:val="0"/>
              <w:autoSpaceDE w:val="0"/>
              <w:autoSpaceDN w:val="0"/>
              <w:bidi w:val="0"/>
              <w:adjustRightInd w:val="0"/>
              <w:snapToGrid w:val="0"/>
              <w:spacing w:before="220" w:line="218" w:lineRule="auto"/>
              <w:ind w:left="15"/>
              <w:rPr>
                <w:rFonts w:ascii="宋体" w:hAnsi="宋体" w:eastAsia="宋体" w:cs="宋体"/>
                <w:sz w:val="21"/>
                <w:szCs w:val="21"/>
              </w:rPr>
            </w:pPr>
            <w:r>
              <w:rPr>
                <w:rFonts w:ascii="宋体" w:hAnsi="宋体" w:eastAsia="宋体" w:cs="宋体"/>
                <w:spacing w:val="-1"/>
                <w:sz w:val="21"/>
                <w:szCs w:val="21"/>
              </w:rPr>
              <w:t>●管理运维服务能力体系的所有报告，为内部审核、管理评审提供参考</w:t>
            </w:r>
          </w:p>
          <w:p w14:paraId="4C10947D">
            <w:pPr>
              <w:keepNext w:val="0"/>
              <w:keepLines w:val="0"/>
              <w:pageBreakBefore w:val="0"/>
              <w:widowControl w:val="0"/>
              <w:kinsoku w:val="0"/>
              <w:wordWrap/>
              <w:overflowPunct/>
              <w:topLinePunct w:val="0"/>
              <w:autoSpaceDE w:val="0"/>
              <w:autoSpaceDN w:val="0"/>
              <w:bidi w:val="0"/>
              <w:adjustRightInd w:val="0"/>
              <w:snapToGrid w:val="0"/>
              <w:spacing w:before="219" w:line="217" w:lineRule="auto"/>
              <w:ind w:left="15"/>
              <w:rPr>
                <w:rFonts w:ascii="宋体" w:hAnsi="宋体" w:eastAsia="宋体" w:cs="宋体"/>
                <w:sz w:val="21"/>
                <w:szCs w:val="21"/>
              </w:rPr>
            </w:pPr>
            <w:r>
              <w:rPr>
                <w:rFonts w:ascii="宋体" w:hAnsi="宋体" w:eastAsia="宋体" w:cs="宋体"/>
                <w:spacing w:val="-1"/>
                <w:sz w:val="21"/>
                <w:szCs w:val="21"/>
              </w:rPr>
              <w:t>●确保各报告的撰写、审批、发布,按照《服务报告管理程序》的要求去执行</w:t>
            </w:r>
          </w:p>
        </w:tc>
        <w:tc>
          <w:tcPr>
            <w:tcW w:w="790" w:type="dxa"/>
          </w:tcPr>
          <w:p w14:paraId="3BC5F2D4">
            <w:pPr>
              <w:keepNext w:val="0"/>
              <w:keepLines w:val="0"/>
              <w:pageBreakBefore w:val="0"/>
              <w:widowControl w:val="0"/>
              <w:kinsoku w:val="0"/>
              <w:wordWrap/>
              <w:overflowPunct/>
              <w:topLinePunct w:val="0"/>
              <w:autoSpaceDE w:val="0"/>
              <w:autoSpaceDN w:val="0"/>
              <w:bidi w:val="0"/>
              <w:adjustRightInd w:val="0"/>
              <w:snapToGrid w:val="0"/>
              <w:spacing w:before="219" w:line="217" w:lineRule="auto"/>
              <w:ind w:left="15"/>
              <w:rPr>
                <w:rFonts w:hint="default" w:ascii="宋体" w:hAnsi="宋体" w:eastAsia="宋体" w:cs="宋体"/>
                <w:spacing w:val="-1"/>
                <w:sz w:val="21"/>
                <w:szCs w:val="21"/>
                <w:lang w:val="en-US" w:eastAsia="zh-CN"/>
              </w:rPr>
            </w:pPr>
            <w:r>
              <w:rPr>
                <w:rFonts w:hint="eastAsia" w:ascii="宋体" w:hAnsi="宋体" w:cs="宋体"/>
                <w:spacing w:val="-1"/>
                <w:sz w:val="21"/>
                <w:szCs w:val="21"/>
                <w:lang w:val="en-US" w:eastAsia="zh-CN"/>
              </w:rPr>
              <w:t>运维实施工程师</w:t>
            </w:r>
          </w:p>
        </w:tc>
      </w:tr>
      <w:tr w14:paraId="62A3B6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09" w:hRule="atLeast"/>
        </w:trPr>
        <w:tc>
          <w:tcPr>
            <w:tcW w:w="833" w:type="dxa"/>
            <w:tcBorders>
              <w:left w:val="single" w:color="000000" w:sz="12" w:space="0"/>
            </w:tcBorders>
          </w:tcPr>
          <w:p w14:paraId="13736B3D">
            <w:pPr>
              <w:keepNext w:val="0"/>
              <w:keepLines w:val="0"/>
              <w:pageBreakBefore w:val="0"/>
              <w:widowControl w:val="0"/>
              <w:kinsoku w:val="0"/>
              <w:wordWrap/>
              <w:overflowPunct/>
              <w:topLinePunct w:val="0"/>
              <w:autoSpaceDE w:val="0"/>
              <w:autoSpaceDN w:val="0"/>
              <w:bidi w:val="0"/>
              <w:adjustRightInd w:val="0"/>
              <w:snapToGrid w:val="0"/>
              <w:spacing w:before="78" w:line="220" w:lineRule="auto"/>
              <w:rPr>
                <w:rFonts w:ascii="宋体" w:hAnsi="宋体" w:eastAsia="宋体" w:cs="宋体"/>
                <w:sz w:val="24"/>
                <w:szCs w:val="24"/>
              </w:rPr>
            </w:pPr>
            <w:r>
              <w:rPr>
                <w:rFonts w:ascii="宋体" w:hAnsi="宋体" w:eastAsia="宋体" w:cs="宋体"/>
                <w:spacing w:val="-5"/>
                <w:sz w:val="24"/>
                <w:szCs w:val="24"/>
              </w:rPr>
              <w:t>审批人</w:t>
            </w:r>
          </w:p>
        </w:tc>
        <w:tc>
          <w:tcPr>
            <w:tcW w:w="7083" w:type="dxa"/>
          </w:tcPr>
          <w:p w14:paraId="6AE26195">
            <w:pPr>
              <w:keepNext w:val="0"/>
              <w:keepLines w:val="0"/>
              <w:pageBreakBefore w:val="0"/>
              <w:widowControl w:val="0"/>
              <w:kinsoku w:val="0"/>
              <w:wordWrap/>
              <w:overflowPunct/>
              <w:topLinePunct w:val="0"/>
              <w:autoSpaceDE w:val="0"/>
              <w:autoSpaceDN w:val="0"/>
              <w:bidi w:val="0"/>
              <w:adjustRightInd w:val="0"/>
              <w:snapToGrid w:val="0"/>
              <w:spacing w:before="225" w:line="218" w:lineRule="auto"/>
              <w:ind w:left="15"/>
              <w:rPr>
                <w:rFonts w:ascii="宋体" w:hAnsi="宋体" w:eastAsia="宋体" w:cs="宋体"/>
                <w:sz w:val="21"/>
                <w:szCs w:val="21"/>
              </w:rPr>
            </w:pPr>
            <w:r>
              <w:rPr>
                <w:rFonts w:ascii="宋体" w:hAnsi="宋体" w:eastAsia="宋体" w:cs="宋体"/>
                <w:spacing w:val="-2"/>
                <w:sz w:val="21"/>
                <w:szCs w:val="21"/>
              </w:rPr>
              <w:t>●审批报告中出现的重大异常情况</w:t>
            </w:r>
          </w:p>
          <w:p w14:paraId="69CEBBF9">
            <w:pPr>
              <w:keepNext w:val="0"/>
              <w:keepLines w:val="0"/>
              <w:pageBreakBefore w:val="0"/>
              <w:widowControl w:val="0"/>
              <w:kinsoku w:val="0"/>
              <w:wordWrap/>
              <w:overflowPunct/>
              <w:topLinePunct w:val="0"/>
              <w:autoSpaceDE w:val="0"/>
              <w:autoSpaceDN w:val="0"/>
              <w:bidi w:val="0"/>
              <w:adjustRightInd w:val="0"/>
              <w:snapToGrid w:val="0"/>
              <w:spacing w:before="220" w:line="220" w:lineRule="auto"/>
              <w:ind w:left="15"/>
              <w:rPr>
                <w:rFonts w:ascii="宋体" w:hAnsi="宋体" w:eastAsia="宋体" w:cs="宋体"/>
                <w:sz w:val="21"/>
                <w:szCs w:val="21"/>
              </w:rPr>
            </w:pPr>
            <w:r>
              <w:rPr>
                <w:rFonts w:ascii="宋体" w:hAnsi="宋体" w:eastAsia="宋体" w:cs="宋体"/>
                <w:spacing w:val="-4"/>
                <w:sz w:val="21"/>
                <w:szCs w:val="21"/>
              </w:rPr>
              <w:t>●指导和监督</w:t>
            </w:r>
            <w:r>
              <w:rPr>
                <w:rFonts w:ascii="宋体" w:hAnsi="宋体" w:eastAsia="宋体" w:cs="宋体"/>
                <w:spacing w:val="-44"/>
                <w:sz w:val="21"/>
                <w:szCs w:val="21"/>
              </w:rPr>
              <w:t xml:space="preserve"> </w:t>
            </w:r>
            <w:r>
              <w:rPr>
                <w:rFonts w:ascii="宋体" w:hAnsi="宋体" w:eastAsia="宋体" w:cs="宋体"/>
                <w:spacing w:val="-4"/>
                <w:sz w:val="21"/>
                <w:szCs w:val="21"/>
              </w:rPr>
              <w:t>SLA</w:t>
            </w:r>
            <w:r>
              <w:rPr>
                <w:rFonts w:ascii="宋体" w:hAnsi="宋体" w:eastAsia="宋体" w:cs="宋体"/>
                <w:spacing w:val="-28"/>
                <w:sz w:val="21"/>
                <w:szCs w:val="21"/>
              </w:rPr>
              <w:t xml:space="preserve"> </w:t>
            </w:r>
            <w:r>
              <w:rPr>
                <w:rFonts w:ascii="宋体" w:hAnsi="宋体" w:eastAsia="宋体" w:cs="宋体"/>
                <w:spacing w:val="-4"/>
                <w:sz w:val="21"/>
                <w:szCs w:val="21"/>
              </w:rPr>
              <w:t>的履行情况</w:t>
            </w:r>
          </w:p>
        </w:tc>
        <w:tc>
          <w:tcPr>
            <w:tcW w:w="790" w:type="dxa"/>
          </w:tcPr>
          <w:p w14:paraId="0F1E0A09">
            <w:pPr>
              <w:keepNext w:val="0"/>
              <w:keepLines w:val="0"/>
              <w:pageBreakBefore w:val="0"/>
              <w:widowControl w:val="0"/>
              <w:kinsoku w:val="0"/>
              <w:wordWrap/>
              <w:overflowPunct/>
              <w:topLinePunct w:val="0"/>
              <w:autoSpaceDE w:val="0"/>
              <w:autoSpaceDN w:val="0"/>
              <w:bidi w:val="0"/>
              <w:adjustRightInd w:val="0"/>
              <w:snapToGrid w:val="0"/>
              <w:spacing w:before="220" w:line="220" w:lineRule="auto"/>
              <w:ind w:left="15"/>
              <w:rPr>
                <w:rFonts w:hint="default" w:ascii="宋体" w:hAnsi="宋体" w:eastAsia="宋体" w:cs="宋体"/>
                <w:spacing w:val="-4"/>
                <w:sz w:val="21"/>
                <w:szCs w:val="21"/>
                <w:lang w:val="en-US" w:eastAsia="zh-CN"/>
              </w:rPr>
            </w:pPr>
            <w:r>
              <w:rPr>
                <w:rFonts w:hint="eastAsia" w:ascii="宋体" w:hAnsi="宋体" w:cs="宋体"/>
                <w:spacing w:val="-4"/>
                <w:sz w:val="21"/>
                <w:szCs w:val="21"/>
                <w:lang w:val="en-US" w:eastAsia="zh-CN"/>
              </w:rPr>
              <w:t>运维部经理</w:t>
            </w:r>
          </w:p>
        </w:tc>
      </w:tr>
    </w:tbl>
    <w:p w14:paraId="7E2086D0">
      <w:pPr>
        <w:pStyle w:val="28"/>
        <w:keepNext w:val="0"/>
        <w:keepLines w:val="0"/>
        <w:pageBreakBefore w:val="0"/>
        <w:widowControl w:val="0"/>
        <w:kinsoku w:val="0"/>
        <w:wordWrap/>
        <w:overflowPunct/>
        <w:topLinePunct w:val="0"/>
        <w:autoSpaceDE w:val="0"/>
        <w:autoSpaceDN w:val="0"/>
        <w:bidi w:val="0"/>
        <w:adjustRightInd w:val="0"/>
        <w:snapToGrid w:val="0"/>
      </w:pPr>
      <w:bookmarkStart w:id="10" w:name="_Toc30407"/>
      <w:r>
        <w:rPr>
          <w:rFonts w:hint="eastAsia"/>
          <w:lang w:val="en-US" w:eastAsia="zh-CN"/>
        </w:rPr>
        <w:t>服务报告</w:t>
      </w:r>
      <w:r>
        <w:t>分类</w:t>
      </w:r>
      <w:bookmarkEnd w:id="10"/>
    </w:p>
    <w:p w14:paraId="1828965B">
      <w:pPr>
        <w:pStyle w:val="27"/>
        <w:keepNext w:val="0"/>
        <w:keepLines w:val="0"/>
        <w:pageBreakBefore w:val="0"/>
        <w:widowControl w:val="0"/>
        <w:kinsoku w:val="0"/>
        <w:wordWrap/>
        <w:overflowPunct/>
        <w:topLinePunct w:val="0"/>
        <w:autoSpaceDE w:val="0"/>
        <w:autoSpaceDN w:val="0"/>
        <w:bidi w:val="0"/>
        <w:adjustRightInd w:val="0"/>
        <w:snapToGrid w:val="0"/>
      </w:pPr>
      <w:r>
        <w:rPr>
          <w:b/>
          <w:bCs/>
        </w:rPr>
        <w:t>对外服务报告：</w:t>
      </w:r>
      <w:r>
        <w:t>提交给客户，包含服务内容及服务级别达成率分析；现存问题及改进建议等。</w:t>
      </w:r>
    </w:p>
    <w:p w14:paraId="5B6829CD">
      <w:pPr>
        <w:pStyle w:val="27"/>
        <w:keepNext w:val="0"/>
        <w:keepLines w:val="0"/>
        <w:pageBreakBefore w:val="0"/>
        <w:widowControl w:val="0"/>
        <w:kinsoku w:val="0"/>
        <w:wordWrap/>
        <w:overflowPunct/>
        <w:topLinePunct w:val="0"/>
        <w:autoSpaceDE w:val="0"/>
        <w:autoSpaceDN w:val="0"/>
        <w:bidi w:val="0"/>
        <w:adjustRightInd w:val="0"/>
        <w:snapToGrid w:val="0"/>
      </w:pPr>
      <w:r>
        <w:rPr>
          <w:b/>
          <w:bCs/>
        </w:rPr>
        <w:t>对内服务总结：</w:t>
      </w:r>
      <w:r>
        <w:t>项目组内部总结，主要总结对客户提供的各项服务指标达成情况分析及改进建议。</w:t>
      </w:r>
    </w:p>
    <w:p w14:paraId="5BCF2900">
      <w:pPr>
        <w:pStyle w:val="28"/>
        <w:keepNext w:val="0"/>
        <w:keepLines w:val="0"/>
        <w:pageBreakBefore w:val="0"/>
        <w:widowControl w:val="0"/>
        <w:kinsoku w:val="0"/>
        <w:wordWrap/>
        <w:overflowPunct/>
        <w:topLinePunct w:val="0"/>
        <w:autoSpaceDE w:val="0"/>
        <w:autoSpaceDN w:val="0"/>
        <w:bidi w:val="0"/>
        <w:adjustRightInd w:val="0"/>
        <w:snapToGrid w:val="0"/>
      </w:pPr>
      <w:bookmarkStart w:id="11" w:name="_Toc20906"/>
      <w:r>
        <w:t>服务报告</w:t>
      </w:r>
      <w:r>
        <w:rPr>
          <w:rFonts w:hint="eastAsia"/>
          <w:lang w:val="en-US" w:eastAsia="zh-CN"/>
        </w:rPr>
        <w:t>管理</w:t>
      </w:r>
      <w:r>
        <w:t>策略</w:t>
      </w:r>
      <w:r>
        <w:rPr>
          <w:rFonts w:hint="eastAsia"/>
          <w:lang w:val="en-US" w:eastAsia="zh-CN"/>
        </w:rPr>
        <w:t>与原则</w:t>
      </w:r>
      <w:bookmarkEnd w:id="11"/>
    </w:p>
    <w:p w14:paraId="16BD70B2">
      <w:pPr>
        <w:pStyle w:val="41"/>
        <w:keepNext w:val="0"/>
        <w:keepLines w:val="0"/>
        <w:pageBreakBefore w:val="0"/>
        <w:widowControl w:val="0"/>
        <w:kinsoku w:val="0"/>
        <w:wordWrap/>
        <w:overflowPunct/>
        <w:topLinePunct w:val="0"/>
        <w:autoSpaceDE w:val="0"/>
        <w:autoSpaceDN w:val="0"/>
        <w:bidi w:val="0"/>
        <w:adjustRightInd w:val="0"/>
        <w:snapToGrid w:val="0"/>
      </w:pPr>
      <w:r>
        <w:t>服务报告管理应该遵循如下策略：</w:t>
      </w:r>
    </w:p>
    <w:p w14:paraId="70E13E5E">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应约定并记录用户对服务报告的要求。</w:t>
      </w:r>
    </w:p>
    <w:p w14:paraId="4BE0461A">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服务报告中的指标应该是可测量的，并提供趋势信息。</w:t>
      </w:r>
    </w:p>
    <w:p w14:paraId="17F9E505">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服务报告应得到相关各方的认可，应确保报告的及时性、可靠性和准确性。报告应采用通俗易懂的呈现方式，例如图表形式。</w:t>
      </w:r>
    </w:p>
    <w:p w14:paraId="2DC2606A">
      <w:pPr>
        <w:pStyle w:val="41"/>
        <w:keepNext w:val="0"/>
        <w:keepLines w:val="0"/>
        <w:pageBreakBefore w:val="0"/>
        <w:widowControl w:val="0"/>
        <w:numPr>
          <w:ilvl w:val="0"/>
          <w:numId w:val="2"/>
        </w:numPr>
        <w:kinsoku w:val="0"/>
        <w:wordWrap/>
        <w:overflowPunct/>
        <w:topLinePunct w:val="0"/>
        <w:autoSpaceDE w:val="0"/>
        <w:autoSpaceDN w:val="0"/>
        <w:bidi w:val="0"/>
        <w:adjustRightInd w:val="0"/>
        <w:snapToGrid w:val="0"/>
      </w:pPr>
      <w:r>
        <w:t>服务报告应清楚描述其目标、受众、数据来源等信息。</w:t>
      </w:r>
    </w:p>
    <w:p w14:paraId="2CF7506A">
      <w:pPr>
        <w:pStyle w:val="28"/>
        <w:keepNext w:val="0"/>
        <w:keepLines w:val="0"/>
        <w:pageBreakBefore w:val="0"/>
        <w:widowControl w:val="0"/>
        <w:kinsoku w:val="0"/>
        <w:wordWrap/>
        <w:overflowPunct/>
        <w:topLinePunct w:val="0"/>
        <w:autoSpaceDE w:val="0"/>
        <w:autoSpaceDN w:val="0"/>
        <w:bidi w:val="0"/>
        <w:adjustRightInd w:val="0"/>
        <w:snapToGrid w:val="0"/>
      </w:pPr>
      <w:bookmarkStart w:id="12" w:name="_Toc11992"/>
      <w:r>
        <w:t>服务报告管理</w:t>
      </w:r>
      <w:bookmarkEnd w:id="12"/>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3"/>
        <w:gridCol w:w="1524"/>
        <w:gridCol w:w="848"/>
        <w:gridCol w:w="1139"/>
        <w:gridCol w:w="773"/>
        <w:gridCol w:w="1063"/>
        <w:gridCol w:w="1232"/>
        <w:gridCol w:w="1079"/>
      </w:tblGrid>
      <w:tr w14:paraId="23D0A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dxa"/>
          </w:tcPr>
          <w:p w14:paraId="2ACEC7A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名</w:t>
            </w:r>
            <w:r>
              <w:rPr>
                <w:rStyle w:val="31"/>
                <w:snapToGrid w:val="0"/>
                <w:color w:val="000000"/>
                <w:sz w:val="15"/>
                <w:szCs w:val="15"/>
                <w:lang w:val="en-US" w:eastAsia="zh-CN"/>
              </w:rPr>
              <w:t xml:space="preserve"> </w:t>
            </w:r>
            <w:r>
              <w:rPr>
                <w:rStyle w:val="32"/>
                <w:snapToGrid w:val="0"/>
                <w:color w:val="000000"/>
                <w:sz w:val="15"/>
                <w:szCs w:val="15"/>
                <w:lang w:val="en-US" w:eastAsia="zh-CN"/>
              </w:rPr>
              <w:t>称</w:t>
            </w:r>
          </w:p>
        </w:tc>
        <w:tc>
          <w:tcPr>
            <w:tcW w:w="1524" w:type="dxa"/>
          </w:tcPr>
          <w:p w14:paraId="7C8B70B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相关项</w:t>
            </w:r>
          </w:p>
        </w:tc>
        <w:tc>
          <w:tcPr>
            <w:tcW w:w="848" w:type="dxa"/>
          </w:tcPr>
          <w:p w14:paraId="3E667A6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撰</w:t>
            </w:r>
            <w:r>
              <w:rPr>
                <w:rStyle w:val="31"/>
                <w:snapToGrid w:val="0"/>
                <w:color w:val="000000"/>
                <w:sz w:val="15"/>
                <w:szCs w:val="15"/>
                <w:lang w:val="en-US" w:eastAsia="zh-CN"/>
              </w:rPr>
              <w:t xml:space="preserve"> </w:t>
            </w:r>
            <w:r>
              <w:rPr>
                <w:rStyle w:val="32"/>
                <w:snapToGrid w:val="0"/>
                <w:color w:val="000000"/>
                <w:sz w:val="15"/>
                <w:szCs w:val="15"/>
                <w:lang w:val="en-US" w:eastAsia="zh-CN"/>
              </w:rPr>
              <w:t>写</w:t>
            </w:r>
            <w:r>
              <w:rPr>
                <w:rStyle w:val="31"/>
                <w:snapToGrid w:val="0"/>
                <w:color w:val="000000"/>
                <w:sz w:val="15"/>
                <w:szCs w:val="15"/>
                <w:lang w:val="en-US" w:eastAsia="zh-CN"/>
              </w:rPr>
              <w:t xml:space="preserve"> </w:t>
            </w:r>
            <w:r>
              <w:rPr>
                <w:rStyle w:val="32"/>
                <w:snapToGrid w:val="0"/>
                <w:color w:val="000000"/>
                <w:sz w:val="15"/>
                <w:szCs w:val="15"/>
                <w:lang w:val="en-US" w:eastAsia="zh-CN"/>
              </w:rPr>
              <w:t>人</w:t>
            </w:r>
          </w:p>
        </w:tc>
        <w:tc>
          <w:tcPr>
            <w:tcW w:w="1139" w:type="dxa"/>
          </w:tcPr>
          <w:p w14:paraId="362E17B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审</w:t>
            </w:r>
            <w:r>
              <w:rPr>
                <w:rStyle w:val="31"/>
                <w:snapToGrid w:val="0"/>
                <w:color w:val="000000"/>
                <w:sz w:val="15"/>
                <w:szCs w:val="15"/>
                <w:lang w:val="en-US" w:eastAsia="zh-CN"/>
              </w:rPr>
              <w:t xml:space="preserve"> </w:t>
            </w:r>
            <w:r>
              <w:rPr>
                <w:rStyle w:val="32"/>
                <w:snapToGrid w:val="0"/>
                <w:color w:val="000000"/>
                <w:sz w:val="15"/>
                <w:szCs w:val="15"/>
                <w:lang w:val="en-US" w:eastAsia="zh-CN"/>
              </w:rPr>
              <w:t>批</w:t>
            </w:r>
            <w:r>
              <w:rPr>
                <w:rStyle w:val="31"/>
                <w:snapToGrid w:val="0"/>
                <w:color w:val="000000"/>
                <w:sz w:val="15"/>
                <w:szCs w:val="15"/>
                <w:lang w:val="en-US" w:eastAsia="zh-CN"/>
              </w:rPr>
              <w:t xml:space="preserve"> </w:t>
            </w:r>
            <w:r>
              <w:rPr>
                <w:rStyle w:val="32"/>
                <w:snapToGrid w:val="0"/>
                <w:color w:val="000000"/>
                <w:sz w:val="15"/>
                <w:szCs w:val="15"/>
                <w:lang w:val="en-US" w:eastAsia="zh-CN"/>
              </w:rPr>
              <w:t>人</w:t>
            </w:r>
          </w:p>
        </w:tc>
        <w:tc>
          <w:tcPr>
            <w:tcW w:w="773" w:type="dxa"/>
          </w:tcPr>
          <w:p w14:paraId="34F9A2F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归</w:t>
            </w:r>
            <w:r>
              <w:rPr>
                <w:rStyle w:val="31"/>
                <w:snapToGrid w:val="0"/>
                <w:color w:val="000000"/>
                <w:sz w:val="15"/>
                <w:szCs w:val="15"/>
                <w:lang w:val="en-US" w:eastAsia="zh-CN"/>
              </w:rPr>
              <w:t xml:space="preserve"> </w:t>
            </w:r>
            <w:r>
              <w:rPr>
                <w:rStyle w:val="32"/>
                <w:snapToGrid w:val="0"/>
                <w:color w:val="000000"/>
                <w:sz w:val="15"/>
                <w:szCs w:val="15"/>
                <w:lang w:val="en-US" w:eastAsia="zh-CN"/>
              </w:rPr>
              <w:t>档</w:t>
            </w:r>
            <w:r>
              <w:rPr>
                <w:rStyle w:val="31"/>
                <w:snapToGrid w:val="0"/>
                <w:color w:val="000000"/>
                <w:sz w:val="15"/>
                <w:szCs w:val="15"/>
                <w:lang w:val="en-US" w:eastAsia="zh-CN"/>
              </w:rPr>
              <w:t xml:space="preserve"> </w:t>
            </w:r>
            <w:r>
              <w:rPr>
                <w:rStyle w:val="32"/>
                <w:snapToGrid w:val="0"/>
                <w:color w:val="000000"/>
                <w:sz w:val="15"/>
                <w:szCs w:val="15"/>
                <w:lang w:val="en-US" w:eastAsia="zh-CN"/>
              </w:rPr>
              <w:t>方</w:t>
            </w:r>
            <w:r>
              <w:rPr>
                <w:rStyle w:val="31"/>
                <w:snapToGrid w:val="0"/>
                <w:color w:val="000000"/>
                <w:sz w:val="15"/>
                <w:szCs w:val="15"/>
                <w:lang w:val="en-US" w:eastAsia="zh-CN"/>
              </w:rPr>
              <w:t xml:space="preserve"> </w:t>
            </w:r>
            <w:r>
              <w:rPr>
                <w:rStyle w:val="32"/>
                <w:snapToGrid w:val="0"/>
                <w:color w:val="000000"/>
                <w:sz w:val="15"/>
                <w:szCs w:val="15"/>
                <w:lang w:val="en-US" w:eastAsia="zh-CN"/>
              </w:rPr>
              <w:t>式</w:t>
            </w:r>
          </w:p>
        </w:tc>
        <w:tc>
          <w:tcPr>
            <w:tcW w:w="1063" w:type="dxa"/>
          </w:tcPr>
          <w:p w14:paraId="71321F5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汇</w:t>
            </w:r>
            <w:r>
              <w:rPr>
                <w:rStyle w:val="31"/>
                <w:snapToGrid w:val="0"/>
                <w:color w:val="000000"/>
                <w:sz w:val="15"/>
                <w:szCs w:val="15"/>
                <w:lang w:val="en-US" w:eastAsia="zh-CN"/>
              </w:rPr>
              <w:t xml:space="preserve"> </w:t>
            </w:r>
            <w:r>
              <w:rPr>
                <w:rStyle w:val="32"/>
                <w:snapToGrid w:val="0"/>
                <w:color w:val="000000"/>
                <w:sz w:val="15"/>
                <w:szCs w:val="15"/>
                <w:lang w:val="en-US" w:eastAsia="zh-CN"/>
              </w:rPr>
              <w:t>报</w:t>
            </w:r>
            <w:r>
              <w:rPr>
                <w:rStyle w:val="31"/>
                <w:snapToGrid w:val="0"/>
                <w:color w:val="000000"/>
                <w:sz w:val="15"/>
                <w:szCs w:val="15"/>
                <w:lang w:val="en-US" w:eastAsia="zh-CN"/>
              </w:rPr>
              <w:t xml:space="preserve"> </w:t>
            </w:r>
            <w:r>
              <w:rPr>
                <w:rStyle w:val="32"/>
                <w:snapToGrid w:val="0"/>
                <w:color w:val="000000"/>
                <w:sz w:val="15"/>
                <w:szCs w:val="15"/>
                <w:lang w:val="en-US" w:eastAsia="zh-CN"/>
              </w:rPr>
              <w:t>对</w:t>
            </w:r>
            <w:r>
              <w:rPr>
                <w:rStyle w:val="31"/>
                <w:snapToGrid w:val="0"/>
                <w:color w:val="000000"/>
                <w:sz w:val="15"/>
                <w:szCs w:val="15"/>
                <w:lang w:val="en-US" w:eastAsia="zh-CN"/>
              </w:rPr>
              <w:t xml:space="preserve"> </w:t>
            </w:r>
            <w:r>
              <w:rPr>
                <w:rStyle w:val="32"/>
                <w:snapToGrid w:val="0"/>
                <w:color w:val="000000"/>
                <w:sz w:val="15"/>
                <w:szCs w:val="15"/>
                <w:lang w:val="en-US" w:eastAsia="zh-CN"/>
              </w:rPr>
              <w:t>象</w:t>
            </w:r>
          </w:p>
        </w:tc>
        <w:tc>
          <w:tcPr>
            <w:tcW w:w="1232" w:type="dxa"/>
          </w:tcPr>
          <w:p w14:paraId="40C93A7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报告主要内容</w:t>
            </w:r>
          </w:p>
        </w:tc>
        <w:tc>
          <w:tcPr>
            <w:tcW w:w="1079" w:type="dxa"/>
          </w:tcPr>
          <w:p w14:paraId="5E0F5A3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b/>
                <w:bCs/>
                <w:i w:val="0"/>
                <w:iCs w:val="0"/>
                <w:snapToGrid w:val="0"/>
                <w:color w:val="000000"/>
                <w:kern w:val="0"/>
                <w:sz w:val="15"/>
                <w:szCs w:val="15"/>
                <w:u w:val="none"/>
                <w:lang w:val="en-US" w:eastAsia="zh-CN"/>
              </w:rPr>
              <w:t>目的</w:t>
            </w:r>
          </w:p>
        </w:tc>
      </w:tr>
      <w:tr w14:paraId="123EF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dxa"/>
            <w:shd w:val="clear" w:color="auto" w:fill="auto"/>
          </w:tcPr>
          <w:p w14:paraId="6C9B594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服务报告</w:t>
            </w:r>
          </w:p>
        </w:tc>
        <w:tc>
          <w:tcPr>
            <w:tcW w:w="1524" w:type="dxa"/>
            <w:shd w:val="clear" w:color="auto" w:fill="auto"/>
          </w:tcPr>
          <w:p w14:paraId="475EB8F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针对该项目的 SLA 要求，所进行的例行操作、响应支持、优化改善、咨询评估的工作内容的统计和趋势分析。现存问题、改进意见及用户确认信息</w:t>
            </w:r>
          </w:p>
        </w:tc>
        <w:tc>
          <w:tcPr>
            <w:tcW w:w="848" w:type="dxa"/>
            <w:shd w:val="clear" w:color="auto" w:fill="auto"/>
          </w:tcPr>
          <w:p w14:paraId="5A52B99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运维项目经理</w:t>
            </w:r>
          </w:p>
        </w:tc>
        <w:tc>
          <w:tcPr>
            <w:tcW w:w="1139" w:type="dxa"/>
            <w:shd w:val="clear" w:color="auto" w:fill="auto"/>
          </w:tcPr>
          <w:p w14:paraId="5504638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运维部门经理</w:t>
            </w:r>
          </w:p>
        </w:tc>
        <w:tc>
          <w:tcPr>
            <w:tcW w:w="773" w:type="dxa"/>
            <w:shd w:val="clear" w:color="auto" w:fill="auto"/>
          </w:tcPr>
          <w:p w14:paraId="5296865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公司归档</w:t>
            </w:r>
          </w:p>
        </w:tc>
        <w:tc>
          <w:tcPr>
            <w:tcW w:w="1063" w:type="dxa"/>
            <w:shd w:val="clear" w:color="auto" w:fill="auto"/>
          </w:tcPr>
          <w:p w14:paraId="23A954B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客户公司运维服务部经理</w:t>
            </w:r>
          </w:p>
        </w:tc>
        <w:tc>
          <w:tcPr>
            <w:tcW w:w="1232" w:type="dxa"/>
            <w:shd w:val="clear" w:color="auto" w:fill="auto"/>
          </w:tcPr>
          <w:p w14:paraId="39F772F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1、事件汇总分析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2、问题汇总分析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3、现存问题及改进意见</w:t>
            </w:r>
          </w:p>
        </w:tc>
        <w:tc>
          <w:tcPr>
            <w:tcW w:w="1079" w:type="dxa"/>
            <w:shd w:val="clear" w:color="auto" w:fill="auto"/>
          </w:tcPr>
          <w:p w14:paraId="16F3293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zh-CN"/>
              </w:rPr>
            </w:pPr>
            <w:r>
              <w:rPr>
                <w:rFonts w:hint="eastAsia" w:ascii="宋体" w:hAnsi="宋体" w:eastAsia="宋体" w:cs="宋体"/>
                <w:i w:val="0"/>
                <w:iCs w:val="0"/>
                <w:snapToGrid w:val="0"/>
                <w:color w:val="000000"/>
                <w:kern w:val="0"/>
                <w:sz w:val="15"/>
                <w:szCs w:val="15"/>
                <w:u w:val="none"/>
                <w:lang w:val="en-US" w:eastAsia="zh-CN"/>
              </w:rPr>
              <w:t>1、让用户了解运维工作的进展情况及 SLA 指标达成情况。</w:t>
            </w:r>
          </w:p>
          <w:p w14:paraId="28F72B6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5"/>
                <w:szCs w:val="15"/>
                <w:u w:val="none"/>
                <w:lang w:val="en-US" w:eastAsia="en-US" w:bidi="ar-SA"/>
              </w:rPr>
            </w:pPr>
            <w:r>
              <w:rPr>
                <w:rFonts w:hint="eastAsia" w:ascii="宋体" w:hAnsi="宋体" w:eastAsia="宋体" w:cs="宋体"/>
                <w:i w:val="0"/>
                <w:iCs w:val="0"/>
                <w:snapToGrid w:val="0"/>
                <w:color w:val="000000"/>
                <w:kern w:val="0"/>
                <w:sz w:val="15"/>
                <w:szCs w:val="15"/>
                <w:u w:val="none"/>
                <w:lang w:val="en-US" w:eastAsia="zh-CN"/>
              </w:rPr>
              <w:t>2、让用户了解运维服务现存问题及改进建议。</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3、改进服务质量</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4、提高客户满意度</w:t>
            </w:r>
          </w:p>
        </w:tc>
      </w:tr>
      <w:tr w14:paraId="5CC27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3" w:type="dxa"/>
          </w:tcPr>
          <w:p w14:paraId="5DA76D2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服务总结</w:t>
            </w:r>
          </w:p>
        </w:tc>
        <w:tc>
          <w:tcPr>
            <w:tcW w:w="1524" w:type="dxa"/>
          </w:tcPr>
          <w:p w14:paraId="6257964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针对该项目的 SLA 要求，所进行的例行操作、响应支持、优化改善、咨询评估的工作内容的统计和趋势分析及用户确认信息</w:t>
            </w:r>
          </w:p>
        </w:tc>
        <w:tc>
          <w:tcPr>
            <w:tcW w:w="848" w:type="dxa"/>
          </w:tcPr>
          <w:p w14:paraId="3490DC9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运维项目经理</w:t>
            </w:r>
          </w:p>
        </w:tc>
        <w:tc>
          <w:tcPr>
            <w:tcW w:w="1139" w:type="dxa"/>
          </w:tcPr>
          <w:p w14:paraId="344719D9">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运维部门经理</w:t>
            </w:r>
          </w:p>
        </w:tc>
        <w:tc>
          <w:tcPr>
            <w:tcW w:w="773" w:type="dxa"/>
          </w:tcPr>
          <w:p w14:paraId="2CB0CD0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公司归档</w:t>
            </w:r>
          </w:p>
        </w:tc>
        <w:tc>
          <w:tcPr>
            <w:tcW w:w="1063" w:type="dxa"/>
          </w:tcPr>
          <w:p w14:paraId="11E6995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客户公司运维服务部经理</w:t>
            </w:r>
          </w:p>
        </w:tc>
        <w:tc>
          <w:tcPr>
            <w:tcW w:w="1232" w:type="dxa"/>
          </w:tcPr>
          <w:p w14:paraId="2D915B6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1、事件汇总分析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2、问题汇总分析</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3、现存问题及改进意见</w:t>
            </w:r>
            <w:r>
              <w:rPr>
                <w:rFonts w:hint="eastAsia" w:ascii="宋体" w:hAnsi="宋体" w:eastAsia="宋体" w:cs="宋体"/>
                <w:i w:val="0"/>
                <w:iCs w:val="0"/>
                <w:snapToGrid w:val="0"/>
                <w:color w:val="000000"/>
                <w:kern w:val="0"/>
                <w:sz w:val="15"/>
                <w:szCs w:val="15"/>
                <w:u w:val="none"/>
                <w:lang w:val="en-US" w:eastAsia="zh-CN"/>
              </w:rPr>
              <w:br w:type="textWrapping"/>
            </w:r>
            <w:r>
              <w:rPr>
                <w:rFonts w:hint="eastAsia" w:ascii="宋体" w:hAnsi="宋体" w:eastAsia="宋体" w:cs="宋体"/>
                <w:i w:val="0"/>
                <w:iCs w:val="0"/>
                <w:snapToGrid w:val="0"/>
                <w:color w:val="000000"/>
                <w:kern w:val="0"/>
                <w:sz w:val="15"/>
                <w:szCs w:val="15"/>
                <w:u w:val="none"/>
                <w:lang w:val="en-US" w:eastAsia="zh-CN"/>
              </w:rPr>
              <w:t>4、总结运维服务在事件、问题、变更、配置、发布等方面是否符合体系规范要求。</w:t>
            </w:r>
          </w:p>
        </w:tc>
        <w:tc>
          <w:tcPr>
            <w:tcW w:w="1079" w:type="dxa"/>
          </w:tcPr>
          <w:p w14:paraId="1283F49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sz w:val="15"/>
                <w:szCs w:val="15"/>
                <w:vertAlign w:val="baseline"/>
              </w:rPr>
            </w:pPr>
            <w:r>
              <w:rPr>
                <w:rFonts w:hint="eastAsia" w:ascii="宋体" w:hAnsi="宋体" w:eastAsia="宋体" w:cs="宋体"/>
                <w:i w:val="0"/>
                <w:iCs w:val="0"/>
                <w:snapToGrid w:val="0"/>
                <w:color w:val="000000"/>
                <w:kern w:val="0"/>
                <w:sz w:val="15"/>
                <w:szCs w:val="15"/>
                <w:u w:val="none"/>
                <w:lang w:val="en-US" w:eastAsia="zh-CN"/>
              </w:rPr>
              <w:t>维护和改进运维服务质量，统计和分析各流程的执行，监控能力，进行事件的统计，向公司运维部经理汇报运维项目组的工作量及下一步工作改进情况。</w:t>
            </w:r>
          </w:p>
        </w:tc>
      </w:tr>
    </w:tbl>
    <w:p w14:paraId="6975E161">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项目组应确保相应报告的撰写、审批、发布按照上表进行。</w:t>
      </w:r>
    </w:p>
    <w:p w14:paraId="53848854">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服务报告的管理应遵从服务能力体系文件及记录管理规范。</w:t>
      </w:r>
    </w:p>
    <w:p w14:paraId="6FD1659E">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运维部经理定期管理 IT运维服务能力体系的所有报告。</w:t>
      </w:r>
    </w:p>
    <w:p w14:paraId="2289B84C">
      <w:pPr>
        <w:pStyle w:val="41"/>
        <w:keepNext w:val="0"/>
        <w:keepLines w:val="0"/>
        <w:pageBreakBefore w:val="0"/>
        <w:widowControl w:val="0"/>
        <w:numPr>
          <w:ilvl w:val="0"/>
          <w:numId w:val="3"/>
        </w:numPr>
        <w:kinsoku w:val="0"/>
        <w:wordWrap/>
        <w:overflowPunct/>
        <w:topLinePunct w:val="0"/>
        <w:autoSpaceDE w:val="0"/>
        <w:autoSpaceDN w:val="0"/>
        <w:bidi w:val="0"/>
        <w:adjustRightInd w:val="0"/>
        <w:snapToGrid w:val="0"/>
      </w:pPr>
      <w:r>
        <w:t>对报告中出现的重大异常情况，应及时通知并提交运维部经理。</w:t>
      </w:r>
    </w:p>
    <w:p w14:paraId="2C1BA6AF">
      <w:pPr>
        <w:pStyle w:val="28"/>
        <w:keepNext w:val="0"/>
        <w:keepLines w:val="0"/>
        <w:pageBreakBefore w:val="0"/>
        <w:widowControl w:val="0"/>
        <w:kinsoku w:val="0"/>
        <w:wordWrap/>
        <w:overflowPunct/>
        <w:topLinePunct w:val="0"/>
        <w:autoSpaceDE w:val="0"/>
        <w:autoSpaceDN w:val="0"/>
        <w:bidi w:val="0"/>
        <w:adjustRightInd w:val="0"/>
        <w:snapToGrid w:val="0"/>
      </w:pPr>
      <w:bookmarkStart w:id="13" w:name="bookmark1"/>
      <w:bookmarkEnd w:id="13"/>
      <w:bookmarkStart w:id="14" w:name="_Toc23739"/>
      <w:r>
        <w:rPr>
          <w:rFonts w:hint="eastAsia"/>
          <w:lang w:val="en-US" w:eastAsia="zh-CN"/>
        </w:rPr>
        <w:t>服务报告分发</w:t>
      </w:r>
      <w:bookmarkEnd w:id="14"/>
    </w:p>
    <w:p w14:paraId="768A4B95">
      <w:pPr>
        <w:pStyle w:val="27"/>
        <w:bidi w:val="0"/>
        <w:rPr>
          <w:rFonts w:hint="eastAsia"/>
        </w:rPr>
      </w:pPr>
      <w:r>
        <w:rPr>
          <w:rFonts w:hint="eastAsia"/>
        </w:rPr>
        <w:t>服务报告在完成审批后，应按以下要求进行分发：</w:t>
      </w:r>
    </w:p>
    <w:p w14:paraId="7D976872">
      <w:pPr>
        <w:pStyle w:val="29"/>
        <w:bidi w:val="0"/>
        <w:rPr>
          <w:rFonts w:hint="eastAsia"/>
        </w:rPr>
      </w:pPr>
      <w:bookmarkStart w:id="15" w:name="_Toc5633"/>
      <w:r>
        <w:rPr>
          <w:rFonts w:hint="eastAsia"/>
        </w:rPr>
        <w:t>分发对象</w:t>
      </w:r>
      <w:bookmarkEnd w:id="15"/>
    </w:p>
    <w:p w14:paraId="584FEA5B">
      <w:pPr>
        <w:pStyle w:val="27"/>
        <w:bidi w:val="0"/>
        <w:rPr>
          <w:rFonts w:hint="eastAsia"/>
        </w:rPr>
      </w:pPr>
      <w:r>
        <w:rPr>
          <w:rFonts w:hint="eastAsia"/>
          <w:b/>
          <w:bCs/>
        </w:rPr>
        <w:t>对外服务报告：</w:t>
      </w:r>
      <w:r>
        <w:rPr>
          <w:rFonts w:hint="eastAsia"/>
        </w:rPr>
        <w:t>分发给客户公司运维服务部经理及相关接口人。</w:t>
      </w:r>
    </w:p>
    <w:p w14:paraId="062D8143">
      <w:pPr>
        <w:pStyle w:val="27"/>
        <w:bidi w:val="0"/>
        <w:rPr>
          <w:rFonts w:hint="eastAsia"/>
        </w:rPr>
      </w:pPr>
      <w:r>
        <w:rPr>
          <w:rFonts w:hint="eastAsia"/>
          <w:b/>
          <w:bCs/>
        </w:rPr>
        <w:t>对内服务总结：</w:t>
      </w:r>
      <w:r>
        <w:rPr>
          <w:rFonts w:hint="eastAsia"/>
        </w:rPr>
        <w:t>分发给公司运维部经理、项目组成员及相关管理部门。</w:t>
      </w:r>
    </w:p>
    <w:p w14:paraId="60C6521A">
      <w:pPr>
        <w:pStyle w:val="29"/>
        <w:bidi w:val="0"/>
        <w:rPr>
          <w:rFonts w:hint="eastAsia"/>
        </w:rPr>
      </w:pPr>
      <w:bookmarkStart w:id="16" w:name="_Toc10193"/>
      <w:r>
        <w:rPr>
          <w:rFonts w:hint="eastAsia"/>
        </w:rPr>
        <w:t>分发方式</w:t>
      </w:r>
      <w:bookmarkEnd w:id="16"/>
    </w:p>
    <w:p w14:paraId="7A706269">
      <w:pPr>
        <w:pStyle w:val="27"/>
        <w:bidi w:val="0"/>
        <w:rPr>
          <w:rFonts w:hint="eastAsia"/>
        </w:rPr>
      </w:pPr>
      <w:r>
        <w:rPr>
          <w:rFonts w:hint="eastAsia"/>
        </w:rPr>
        <w:t>通过公司正式邮件发送，并保留发送记录。</w:t>
      </w:r>
    </w:p>
    <w:p w14:paraId="5E36EF66">
      <w:pPr>
        <w:pStyle w:val="27"/>
        <w:bidi w:val="0"/>
        <w:rPr>
          <w:rFonts w:hint="eastAsia"/>
        </w:rPr>
      </w:pPr>
      <w:r>
        <w:rPr>
          <w:rFonts w:hint="eastAsia"/>
        </w:rPr>
        <w:t>如有必要，可提供纸质盖章版本。</w:t>
      </w:r>
    </w:p>
    <w:p w14:paraId="00326EF0">
      <w:pPr>
        <w:pStyle w:val="27"/>
        <w:bidi w:val="0"/>
        <w:rPr>
          <w:rFonts w:hint="eastAsia"/>
        </w:rPr>
      </w:pPr>
      <w:r>
        <w:rPr>
          <w:rFonts w:hint="eastAsia"/>
        </w:rPr>
        <w:t>所有分发报告均应标注版本、日期及“仅供内部使用”或“对外提供”字样。</w:t>
      </w:r>
    </w:p>
    <w:p w14:paraId="5BEDC836">
      <w:pPr>
        <w:pStyle w:val="29"/>
        <w:bidi w:val="0"/>
        <w:rPr>
          <w:rFonts w:hint="eastAsia"/>
        </w:rPr>
      </w:pPr>
      <w:bookmarkStart w:id="17" w:name="_Toc26150"/>
      <w:r>
        <w:rPr>
          <w:rFonts w:hint="eastAsia"/>
        </w:rPr>
        <w:t>分发时间</w:t>
      </w:r>
      <w:bookmarkEnd w:id="17"/>
    </w:p>
    <w:p w14:paraId="5D86D1C9">
      <w:pPr>
        <w:pStyle w:val="27"/>
        <w:bidi w:val="0"/>
        <w:rPr>
          <w:rFonts w:hint="eastAsia"/>
        </w:rPr>
      </w:pPr>
      <w:r>
        <w:rPr>
          <w:rFonts w:hint="eastAsia"/>
        </w:rPr>
        <w:t>月度报告应在次月第3个工作日前完成分发。</w:t>
      </w:r>
    </w:p>
    <w:p w14:paraId="79F00C27">
      <w:pPr>
        <w:pStyle w:val="27"/>
        <w:bidi w:val="0"/>
        <w:rPr>
          <w:rFonts w:hint="eastAsia"/>
        </w:rPr>
      </w:pPr>
      <w:r>
        <w:rPr>
          <w:rFonts w:hint="eastAsia"/>
        </w:rPr>
        <w:t>季度、年度报告按约定时间分发，一般不晚于周期结束后5个工作日。</w:t>
      </w:r>
    </w:p>
    <w:p w14:paraId="22AD20B6">
      <w:pPr>
        <w:pStyle w:val="29"/>
        <w:bidi w:val="0"/>
        <w:rPr>
          <w:rFonts w:hint="eastAsia"/>
        </w:rPr>
      </w:pPr>
      <w:bookmarkStart w:id="18" w:name="_Toc2503"/>
      <w:r>
        <w:rPr>
          <w:rFonts w:hint="eastAsia"/>
        </w:rPr>
        <w:t>分发确认</w:t>
      </w:r>
      <w:bookmarkEnd w:id="18"/>
    </w:p>
    <w:p w14:paraId="45C8D794">
      <w:pPr>
        <w:pStyle w:val="27"/>
        <w:bidi w:val="0"/>
        <w:rPr>
          <w:rFonts w:hint="eastAsia"/>
        </w:rPr>
      </w:pPr>
      <w:r>
        <w:rPr>
          <w:rFonts w:hint="eastAsia"/>
        </w:rPr>
        <w:t>对外报告分发后应跟进客户确认接收。</w:t>
      </w:r>
    </w:p>
    <w:p w14:paraId="698F15AD">
      <w:pPr>
        <w:pStyle w:val="27"/>
        <w:bidi w:val="0"/>
        <w:rPr>
          <w:rFonts w:hint="eastAsia"/>
        </w:rPr>
      </w:pPr>
      <w:r>
        <w:rPr>
          <w:rFonts w:hint="eastAsia"/>
        </w:rPr>
        <w:t>分发记录应归档备查，作为报告交付及时率的依据之一。</w:t>
      </w:r>
    </w:p>
    <w:p w14:paraId="2CA3B280">
      <w:pPr>
        <w:pStyle w:val="29"/>
        <w:bidi w:val="0"/>
        <w:rPr>
          <w:rFonts w:hint="eastAsia"/>
        </w:rPr>
      </w:pPr>
      <w:bookmarkStart w:id="19" w:name="_Toc5432"/>
      <w:r>
        <w:rPr>
          <w:rFonts w:hint="eastAsia"/>
        </w:rPr>
        <w:t>保密要求</w:t>
      </w:r>
      <w:bookmarkEnd w:id="19"/>
    </w:p>
    <w:p w14:paraId="4D8EBD11">
      <w:pPr>
        <w:pStyle w:val="27"/>
        <w:bidi w:val="0"/>
        <w:rPr>
          <w:rFonts w:hint="eastAsia"/>
        </w:rPr>
      </w:pPr>
      <w:r>
        <w:rPr>
          <w:rFonts w:hint="eastAsia"/>
        </w:rPr>
        <w:t>报告内容应根据其类别和受众进行信息脱敏或摘要处理。</w:t>
      </w:r>
    </w:p>
    <w:p w14:paraId="29541CA0">
      <w:pPr>
        <w:pStyle w:val="27"/>
        <w:bidi w:val="0"/>
      </w:pPr>
      <w:r>
        <w:rPr>
          <w:rFonts w:hint="eastAsia"/>
        </w:rPr>
        <w:t>未经审批不得向非指定对象分发报告。</w:t>
      </w:r>
    </w:p>
    <w:p w14:paraId="72C8AC5B">
      <w:pPr>
        <w:pStyle w:val="28"/>
        <w:keepNext w:val="0"/>
        <w:keepLines w:val="0"/>
        <w:pageBreakBefore w:val="0"/>
        <w:widowControl w:val="0"/>
        <w:kinsoku w:val="0"/>
        <w:wordWrap/>
        <w:overflowPunct/>
        <w:topLinePunct w:val="0"/>
        <w:autoSpaceDE w:val="0"/>
        <w:autoSpaceDN w:val="0"/>
        <w:bidi w:val="0"/>
        <w:adjustRightInd w:val="0"/>
        <w:snapToGrid w:val="0"/>
      </w:pPr>
      <w:bookmarkStart w:id="20" w:name="_Toc6490"/>
      <w:r>
        <w:t>服务报告内容</w:t>
      </w:r>
      <w:bookmarkEnd w:id="20"/>
    </w:p>
    <w:p w14:paraId="170C2DF2">
      <w:pPr>
        <w:pStyle w:val="27"/>
        <w:keepNext w:val="0"/>
        <w:keepLines w:val="0"/>
        <w:pageBreakBefore w:val="0"/>
        <w:widowControl w:val="0"/>
        <w:kinsoku w:val="0"/>
        <w:wordWrap/>
        <w:overflowPunct/>
        <w:topLinePunct w:val="0"/>
        <w:autoSpaceDE w:val="0"/>
        <w:autoSpaceDN w:val="0"/>
        <w:bidi w:val="0"/>
        <w:adjustRightInd w:val="0"/>
        <w:snapToGrid w:val="0"/>
      </w:pPr>
      <w:r>
        <w:t>运维服务能力体系各流程应产生供管理决策所需的服务报告，报告应得到相关各方的认可，应确保报告的及时性、可靠性和准确性。报告应采用通俗易懂的呈现方式，例如图表形式；</w:t>
      </w:r>
    </w:p>
    <w:p w14:paraId="1AE580E4">
      <w:pPr>
        <w:pStyle w:val="27"/>
        <w:keepNext w:val="0"/>
        <w:keepLines w:val="0"/>
        <w:pageBreakBefore w:val="0"/>
        <w:widowControl w:val="0"/>
        <w:kinsoku w:val="0"/>
        <w:wordWrap/>
        <w:overflowPunct/>
        <w:topLinePunct w:val="0"/>
        <w:autoSpaceDE w:val="0"/>
        <w:autoSpaceDN w:val="0"/>
        <w:bidi w:val="0"/>
        <w:adjustRightInd w:val="0"/>
        <w:snapToGrid w:val="0"/>
      </w:pPr>
      <w:r>
        <w:rPr>
          <w:rFonts w:hint="eastAsia"/>
          <w:lang w:val="en-US" w:eastAsia="zh-CN"/>
        </w:rPr>
        <w:t>运维</w:t>
      </w:r>
      <w:r>
        <w:t>项目经理编写相应的服务报告，并由运维部</w:t>
      </w:r>
      <w:r>
        <w:rPr>
          <w:rFonts w:hint="eastAsia"/>
          <w:lang w:val="en-US" w:eastAsia="zh-CN"/>
        </w:rPr>
        <w:t>经理</w:t>
      </w:r>
      <w:r>
        <w:t>负责审批。为用户提供的服务报告，应包括如下信息：</w:t>
      </w:r>
    </w:p>
    <w:p w14:paraId="3F9ADE16">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针对服务级别目标（SLA）的绩效达成情况。</w:t>
      </w:r>
    </w:p>
    <w:p w14:paraId="1CCF1331">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 xml:space="preserve"> 阶段（月）服务进展，如：处理事件、问题的数量。</w:t>
      </w:r>
    </w:p>
    <w:p w14:paraId="4B404813">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阶段（</w:t>
      </w:r>
      <w:r>
        <w:rPr>
          <w:rFonts w:hint="eastAsia"/>
          <w:lang w:val="en-US" w:eastAsia="zh-CN"/>
        </w:rPr>
        <w:t>季度、</w:t>
      </w:r>
      <w:r>
        <w:t>月）重大事件处理过程与结果，如：重大事件变更与发布。</w:t>
      </w:r>
    </w:p>
    <w:p w14:paraId="3BF32830">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阶段（月）工作量特性，如：设备或人员的资源使用率情况。</w:t>
      </w:r>
    </w:p>
    <w:p w14:paraId="5BF2204B">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客户满意度情况。</w:t>
      </w:r>
    </w:p>
    <w:p w14:paraId="573626B1">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下周期的工作计划。</w:t>
      </w:r>
    </w:p>
    <w:p w14:paraId="6B0579D8">
      <w:pPr>
        <w:pStyle w:val="41"/>
        <w:keepNext w:val="0"/>
        <w:keepLines w:val="0"/>
        <w:pageBreakBefore w:val="0"/>
        <w:widowControl w:val="0"/>
        <w:numPr>
          <w:ilvl w:val="0"/>
          <w:numId w:val="4"/>
        </w:numPr>
        <w:kinsoku w:val="0"/>
        <w:wordWrap/>
        <w:overflowPunct/>
        <w:topLinePunct w:val="0"/>
        <w:autoSpaceDE w:val="0"/>
        <w:autoSpaceDN w:val="0"/>
        <w:bidi w:val="0"/>
        <w:adjustRightInd w:val="0"/>
        <w:snapToGrid w:val="0"/>
      </w:pPr>
      <w:r>
        <w:t>对上月未达成的绩效情况进行分析，提出整改措施。</w:t>
      </w:r>
    </w:p>
    <w:p w14:paraId="5118C13E">
      <w:pPr>
        <w:pStyle w:val="27"/>
        <w:keepNext w:val="0"/>
        <w:keepLines w:val="0"/>
        <w:pageBreakBefore w:val="0"/>
        <w:widowControl w:val="0"/>
        <w:kinsoku w:val="0"/>
        <w:wordWrap/>
        <w:overflowPunct/>
        <w:topLinePunct w:val="0"/>
        <w:autoSpaceDE w:val="0"/>
        <w:autoSpaceDN w:val="0"/>
        <w:bidi w:val="0"/>
        <w:adjustRightInd w:val="0"/>
        <w:snapToGrid w:val="0"/>
      </w:pPr>
      <w:r>
        <w:rPr>
          <w:rFonts w:hint="eastAsia"/>
          <w:lang w:val="en-US" w:eastAsia="zh-CN"/>
        </w:rPr>
        <w:t>运维</w:t>
      </w:r>
      <w:r>
        <w:t>项目经理按</w:t>
      </w:r>
      <w:r>
        <w:rPr>
          <w:rFonts w:hint="eastAsia"/>
          <w:lang w:val="en-US" w:eastAsia="zh-CN"/>
        </w:rPr>
        <w:t>阶段</w:t>
      </w:r>
      <w:r>
        <w:t>（</w:t>
      </w:r>
      <w:r>
        <w:rPr>
          <w:rFonts w:hint="eastAsia"/>
          <w:lang w:val="en-US" w:eastAsia="zh-CN"/>
        </w:rPr>
        <w:t>月</w:t>
      </w:r>
      <w:r>
        <w:t>）编写相应的服务总结，并由</w:t>
      </w:r>
      <w:r>
        <w:rPr>
          <w:rFonts w:hint="eastAsia"/>
          <w:lang w:val="en-US" w:eastAsia="zh-CN"/>
        </w:rPr>
        <w:t>运维部</w:t>
      </w:r>
      <w:r>
        <w:t>经理负责审批。服务总结针对该运维项目的各项指标达成情况进行分析总结，提出改进建议，旨在提升运维服务质量，向公司运维部经理汇报项目组的维护工作量及下一步工作改进情况，应包括如下信息：</w:t>
      </w:r>
    </w:p>
    <w:p w14:paraId="41FF5A67">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针对服务级别目标（SLA）的绩效达成情况。</w:t>
      </w:r>
    </w:p>
    <w:p w14:paraId="62E5B1A4">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阶段（月）服务进展，如：处理事件、问题的数量。</w:t>
      </w:r>
    </w:p>
    <w:p w14:paraId="20D9B170">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阶段（月）重大事件处理过程与结果，如：重大事件变更与发布。</w:t>
      </w:r>
    </w:p>
    <w:p w14:paraId="54B3040B">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阶段（月）工作量特性，如：设备或人员的资源使用率情况。</w:t>
      </w:r>
    </w:p>
    <w:p w14:paraId="39851DE7">
      <w:pPr>
        <w:pStyle w:val="41"/>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pPr>
      <w:r>
        <w:t>客户满意度情况。</w:t>
      </w:r>
    </w:p>
    <w:p w14:paraId="36B871D1">
      <w:pPr>
        <w:pStyle w:val="26"/>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bookmarkStart w:id="21" w:name="_Toc21434"/>
      <w:bookmarkStart w:id="22" w:name="_Toc15683"/>
      <w:r>
        <w:rPr>
          <w:rFonts w:hint="default"/>
          <w:lang w:val="en-US" w:eastAsia="zh-CN"/>
        </w:rPr>
        <w:t>关键指标</w:t>
      </w:r>
      <w:bookmarkEnd w:id="21"/>
      <w:bookmarkEnd w:id="22"/>
    </w:p>
    <w:tbl>
      <w:tblPr>
        <w:tblStyle w:val="24"/>
        <w:tblW w:w="8197" w:type="dxa"/>
        <w:tblInd w:w="13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727"/>
        <w:gridCol w:w="1337"/>
        <w:gridCol w:w="3545"/>
        <w:gridCol w:w="1294"/>
        <w:gridCol w:w="1294"/>
      </w:tblGrid>
      <w:tr w14:paraId="7BC0526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96" w:hRule="atLeast"/>
        </w:trPr>
        <w:tc>
          <w:tcPr>
            <w:tcW w:w="727" w:type="dxa"/>
            <w:tcBorders>
              <w:top w:val="single" w:color="000000" w:sz="6" w:space="0"/>
              <w:left w:val="single" w:color="000000" w:sz="6" w:space="0"/>
              <w:bottom w:val="single" w:color="000000" w:sz="6" w:space="0"/>
            </w:tcBorders>
            <w:shd w:val="clear" w:color="auto" w:fill="C0C0C0"/>
          </w:tcPr>
          <w:p w14:paraId="50FCCA5E">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序号</w:t>
            </w:r>
          </w:p>
        </w:tc>
        <w:tc>
          <w:tcPr>
            <w:tcW w:w="1337" w:type="dxa"/>
            <w:tcBorders>
              <w:top w:val="single" w:color="000000" w:sz="6" w:space="0"/>
              <w:bottom w:val="single" w:color="000000" w:sz="6" w:space="0"/>
            </w:tcBorders>
            <w:shd w:val="clear" w:color="auto" w:fill="C0C0C0"/>
          </w:tcPr>
          <w:p w14:paraId="628D0241">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衡量指标</w:t>
            </w:r>
          </w:p>
        </w:tc>
        <w:tc>
          <w:tcPr>
            <w:tcW w:w="3545" w:type="dxa"/>
            <w:tcBorders>
              <w:top w:val="single" w:color="000000" w:sz="6" w:space="0"/>
              <w:bottom w:val="single" w:color="000000" w:sz="6" w:space="0"/>
              <w:right w:val="single" w:color="000000" w:sz="6" w:space="0"/>
            </w:tcBorders>
            <w:shd w:val="clear" w:color="auto" w:fill="C0C0C0"/>
          </w:tcPr>
          <w:p w14:paraId="551C8D09">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ascii="宋体" w:hAnsi="宋体" w:eastAsia="宋体" w:cs="宋体"/>
                <w:b/>
                <w:bCs/>
                <w:spacing w:val="-7"/>
                <w:sz w:val="24"/>
                <w:szCs w:val="24"/>
              </w:rPr>
            </w:pPr>
            <w:r>
              <w:rPr>
                <w:rFonts w:ascii="宋体" w:hAnsi="宋体" w:eastAsia="宋体" w:cs="宋体"/>
                <w:b/>
                <w:bCs/>
                <w:spacing w:val="-7"/>
                <w:sz w:val="24"/>
                <w:szCs w:val="24"/>
              </w:rPr>
              <w:t>指标计算说明</w:t>
            </w:r>
          </w:p>
        </w:tc>
        <w:tc>
          <w:tcPr>
            <w:tcW w:w="1294" w:type="dxa"/>
            <w:tcBorders>
              <w:top w:val="single" w:color="000000" w:sz="6" w:space="0"/>
              <w:bottom w:val="single" w:color="000000" w:sz="6" w:space="0"/>
              <w:right w:val="single" w:color="000000" w:sz="6" w:space="0"/>
            </w:tcBorders>
            <w:shd w:val="clear" w:color="auto" w:fill="C0C0C0"/>
          </w:tcPr>
          <w:p w14:paraId="18FDDB23">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hint="default" w:ascii="宋体" w:hAnsi="宋体" w:eastAsia="宋体" w:cs="宋体"/>
                <w:b/>
                <w:bCs/>
                <w:spacing w:val="-7"/>
                <w:sz w:val="24"/>
                <w:szCs w:val="24"/>
                <w:lang w:val="en-US" w:eastAsia="zh-CN"/>
              </w:rPr>
            </w:pPr>
            <w:r>
              <w:rPr>
                <w:rFonts w:hint="eastAsia" w:ascii="宋体" w:hAnsi="宋体" w:eastAsia="宋体" w:cs="宋体"/>
                <w:b/>
                <w:bCs/>
                <w:spacing w:val="-7"/>
                <w:sz w:val="24"/>
                <w:szCs w:val="24"/>
                <w:lang w:val="en-US" w:eastAsia="zh-CN"/>
              </w:rPr>
              <w:t>考核频次</w:t>
            </w:r>
          </w:p>
        </w:tc>
        <w:tc>
          <w:tcPr>
            <w:tcW w:w="1294" w:type="dxa"/>
            <w:tcBorders>
              <w:top w:val="single" w:color="000000" w:sz="6" w:space="0"/>
              <w:bottom w:val="single" w:color="000000" w:sz="6" w:space="0"/>
              <w:right w:val="single" w:color="000000" w:sz="6" w:space="0"/>
            </w:tcBorders>
            <w:shd w:val="clear" w:color="auto" w:fill="C0C0C0"/>
          </w:tcPr>
          <w:p w14:paraId="576681D0">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rPr>
                <w:rFonts w:hint="default" w:ascii="宋体" w:hAnsi="宋体" w:eastAsia="宋体" w:cs="宋体"/>
                <w:b/>
                <w:bCs/>
                <w:spacing w:val="-7"/>
                <w:sz w:val="24"/>
                <w:szCs w:val="24"/>
                <w:lang w:val="en-US" w:eastAsia="zh-CN"/>
              </w:rPr>
            </w:pPr>
            <w:r>
              <w:rPr>
                <w:rFonts w:hint="eastAsia" w:ascii="宋体" w:hAnsi="宋体" w:cs="宋体"/>
                <w:b/>
                <w:bCs/>
                <w:spacing w:val="-7"/>
                <w:sz w:val="24"/>
                <w:szCs w:val="24"/>
                <w:lang w:val="en-US" w:eastAsia="zh-CN"/>
              </w:rPr>
              <w:t>目标值</w:t>
            </w:r>
          </w:p>
        </w:tc>
      </w:tr>
      <w:tr w14:paraId="6E2E794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52" w:hRule="atLeast"/>
        </w:trPr>
        <w:tc>
          <w:tcPr>
            <w:tcW w:w="727" w:type="dxa"/>
            <w:tcBorders>
              <w:top w:val="single" w:color="000000" w:sz="6" w:space="0"/>
              <w:left w:val="single" w:color="000000" w:sz="6" w:space="0"/>
            </w:tcBorders>
          </w:tcPr>
          <w:p w14:paraId="06C1F71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1</w:t>
            </w:r>
          </w:p>
        </w:tc>
        <w:tc>
          <w:tcPr>
            <w:tcW w:w="1337" w:type="dxa"/>
            <w:tcBorders>
              <w:top w:val="single" w:color="000000" w:sz="6" w:space="0"/>
            </w:tcBorders>
          </w:tcPr>
          <w:p w14:paraId="1897C514">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服务报告交付及时率</w:t>
            </w:r>
          </w:p>
        </w:tc>
        <w:tc>
          <w:tcPr>
            <w:tcW w:w="3545" w:type="dxa"/>
            <w:tcBorders>
              <w:top w:val="single" w:color="000000" w:sz="6" w:space="0"/>
              <w:right w:val="single" w:color="000000" w:sz="6" w:space="0"/>
            </w:tcBorders>
          </w:tcPr>
          <w:p w14:paraId="2C7DEE91">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服务报告按时提交的数量/服务报告总数量*100%</w:t>
            </w:r>
          </w:p>
        </w:tc>
        <w:tc>
          <w:tcPr>
            <w:tcW w:w="1294" w:type="dxa"/>
            <w:tcBorders>
              <w:top w:val="single" w:color="000000" w:sz="6" w:space="0"/>
              <w:right w:val="single" w:color="000000" w:sz="6" w:space="0"/>
            </w:tcBorders>
          </w:tcPr>
          <w:p w14:paraId="2054DF19">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月度</w:t>
            </w:r>
          </w:p>
        </w:tc>
        <w:tc>
          <w:tcPr>
            <w:tcW w:w="1294" w:type="dxa"/>
            <w:tcBorders>
              <w:top w:val="single" w:color="000000" w:sz="6" w:space="0"/>
              <w:right w:val="single" w:color="000000" w:sz="6" w:space="0"/>
            </w:tcBorders>
          </w:tcPr>
          <w:p w14:paraId="23AFE013">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rPr>
                <w:rFonts w:hint="default" w:ascii="宋体" w:hAnsi="宋体" w:eastAsia="宋体" w:cs="宋体"/>
                <w:spacing w:val="-2"/>
                <w:sz w:val="24"/>
                <w:szCs w:val="24"/>
                <w:lang w:val="en-US" w:eastAsia="zh-CN"/>
              </w:rPr>
            </w:pPr>
            <w:r>
              <w:rPr>
                <w:rFonts w:hint="eastAsia" w:ascii="宋体" w:hAnsi="宋体" w:cs="宋体"/>
                <w:spacing w:val="-2"/>
                <w:sz w:val="24"/>
                <w:szCs w:val="24"/>
                <w:lang w:val="en-US" w:eastAsia="zh-CN"/>
              </w:rPr>
              <w:t>≥90%</w:t>
            </w:r>
          </w:p>
        </w:tc>
      </w:tr>
    </w:tbl>
    <w:p w14:paraId="7D88324F">
      <w:pPr>
        <w:pStyle w:val="26"/>
        <w:keepNext w:val="0"/>
        <w:keepLines w:val="0"/>
        <w:pageBreakBefore w:val="0"/>
        <w:widowControl w:val="0"/>
        <w:kinsoku w:val="0"/>
        <w:wordWrap/>
        <w:overflowPunct/>
        <w:topLinePunct w:val="0"/>
        <w:autoSpaceDE w:val="0"/>
        <w:autoSpaceDN w:val="0"/>
        <w:bidi w:val="0"/>
        <w:adjustRightInd w:val="0"/>
        <w:snapToGrid w:val="0"/>
      </w:pPr>
      <w:bookmarkStart w:id="23" w:name="_Toc5511"/>
      <w:r>
        <w:t>相关文件模板</w:t>
      </w:r>
      <w:bookmarkEnd w:id="23"/>
    </w:p>
    <w:p w14:paraId="6ABD43AC">
      <w:pPr>
        <w:pStyle w:val="4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pPr>
      <w:r>
        <w:t>《服务报告模板》</w:t>
      </w:r>
    </w:p>
    <w:p w14:paraId="6024FFF9">
      <w:pPr>
        <w:pStyle w:val="41"/>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pPr>
      <w:r>
        <w:t>《服务总结模板》</w:t>
      </w:r>
    </w:p>
    <w:sectPr>
      <w:footerReference r:id="rId5" w:type="default"/>
      <w:pgSz w:w="11906" w:h="16839"/>
      <w:pgMar w:top="1431" w:right="1785" w:bottom="1374" w:left="1785" w:header="0" w:footer="1211"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31AD10">
    <w:pPr>
      <w:spacing w:line="166" w:lineRule="auto"/>
      <w:ind w:left="4125"/>
      <w:rPr>
        <w:rFonts w:ascii="Calibri" w:hAnsi="Calibri" w:eastAsia="Calibri" w:cs="Calibri"/>
        <w:sz w:val="18"/>
        <w:szCs w:val="18"/>
      </w:rPr>
    </w:pPr>
    <w:r>
      <w:rPr>
        <w:rFonts w:ascii="Calibri" w:hAnsi="Calibri" w:eastAsia="Calibri" w:cs="Calibri"/>
        <w:sz w:val="18"/>
        <w:szCs w:val="18"/>
      </w:rPr>
      <w:t>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D3AEB3"/>
    <w:multiLevelType w:val="singleLevel"/>
    <w:tmpl w:val="81D3AEB3"/>
    <w:lvl w:ilvl="0" w:tentative="0">
      <w:start w:val="1"/>
      <w:numFmt w:val="decimal"/>
      <w:lvlText w:val="%1."/>
      <w:lvlJc w:val="left"/>
      <w:pPr>
        <w:ind w:left="425" w:hanging="425"/>
      </w:pPr>
      <w:rPr>
        <w:rFonts w:hint="default"/>
      </w:rPr>
    </w:lvl>
  </w:abstractNum>
  <w:abstractNum w:abstractNumId="1">
    <w:nsid w:val="85FC4EDA"/>
    <w:multiLevelType w:val="singleLevel"/>
    <w:tmpl w:val="85FC4EDA"/>
    <w:lvl w:ilvl="0" w:tentative="0">
      <w:start w:val="1"/>
      <w:numFmt w:val="decimal"/>
      <w:lvlText w:val="%1."/>
      <w:lvlJc w:val="left"/>
      <w:pPr>
        <w:ind w:left="425" w:hanging="425"/>
      </w:pPr>
      <w:rPr>
        <w:rFonts w:hint="default"/>
      </w:rPr>
    </w:lvl>
  </w:abstractNum>
  <w:abstractNum w:abstractNumId="2">
    <w:nsid w:val="8B62F2A1"/>
    <w:multiLevelType w:val="singleLevel"/>
    <w:tmpl w:val="8B62F2A1"/>
    <w:lvl w:ilvl="0" w:tentative="0">
      <w:start w:val="1"/>
      <w:numFmt w:val="decimal"/>
      <w:lvlText w:val="%1."/>
      <w:lvlJc w:val="left"/>
      <w:pPr>
        <w:ind w:left="425" w:hanging="425"/>
      </w:pPr>
      <w:rPr>
        <w:rFonts w:hint="default"/>
      </w:rPr>
    </w:lvl>
  </w:abstractNum>
  <w:abstractNum w:abstractNumId="3">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4">
    <w:nsid w:val="07E8E1D8"/>
    <w:multiLevelType w:val="singleLevel"/>
    <w:tmpl w:val="07E8E1D8"/>
    <w:lvl w:ilvl="0" w:tentative="0">
      <w:start w:val="1"/>
      <w:numFmt w:val="decimal"/>
      <w:lvlText w:val="%1."/>
      <w:lvlJc w:val="left"/>
      <w:pPr>
        <w:ind w:left="425" w:hanging="425"/>
      </w:pPr>
      <w:rPr>
        <w:rFonts w:hint="default"/>
      </w:rPr>
    </w:lvl>
  </w:abstractNum>
  <w:abstractNum w:abstractNumId="5">
    <w:nsid w:val="5FD2F046"/>
    <w:multiLevelType w:val="singleLevel"/>
    <w:tmpl w:val="5FD2F046"/>
    <w:lvl w:ilvl="0" w:tentative="0">
      <w:start w:val="1"/>
      <w:numFmt w:val="decimal"/>
      <w:lvlText w:val="%1."/>
      <w:lvlJc w:val="left"/>
      <w:pPr>
        <w:ind w:left="425" w:hanging="425"/>
      </w:pPr>
      <w:rPr>
        <w:rFonts w:hint="default"/>
      </w:rPr>
    </w:lvl>
  </w:abstractNum>
  <w:num w:numId="1">
    <w:abstractNumId w:val="3"/>
  </w:num>
  <w:num w:numId="2">
    <w:abstractNumId w:val="5"/>
  </w:num>
  <w:num w:numId="3">
    <w:abstractNumId w:val="0"/>
  </w:num>
  <w:num w:numId="4">
    <w:abstractNumId w:val="1"/>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noPunctuationKerning w:val="1"/>
  <w:characterSpacingControl w:val="doNotCompres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EBD4E28"/>
    <w:rsid w:val="432509D4"/>
    <w:rsid w:val="567F61F6"/>
    <w:rsid w:val="669730E8"/>
    <w:rsid w:val="68070B84"/>
    <w:rsid w:val="69C02956"/>
    <w:rsid w:val="7632698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40"/>
    <w:qFormat/>
    <w:uiPriority w:val="0"/>
    <w:pPr>
      <w:spacing w:before="100" w:after="90" w:line="360" w:lineRule="auto"/>
    </w:pPr>
    <w:rPr>
      <w:rFonts w:ascii="Arial" w:hAnsi="Arial" w:eastAsia="宋体"/>
      <w:sz w:val="32"/>
    </w:rPr>
  </w:style>
  <w:style w:type="paragraph" w:customStyle="1" w:styleId="27">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character" w:customStyle="1" w:styleId="31">
    <w:name w:val="font21"/>
    <w:basedOn w:val="22"/>
    <w:qFormat/>
    <w:uiPriority w:val="0"/>
    <w:rPr>
      <w:rFonts w:hint="eastAsia" w:ascii="宋体" w:hAnsi="宋体" w:eastAsia="宋体" w:cs="宋体"/>
      <w:color w:val="000000"/>
      <w:sz w:val="24"/>
      <w:szCs w:val="24"/>
      <w:u w:val="none"/>
    </w:rPr>
  </w:style>
  <w:style w:type="character" w:customStyle="1" w:styleId="32">
    <w:name w:val="font11"/>
    <w:basedOn w:val="22"/>
    <w:qFormat/>
    <w:uiPriority w:val="0"/>
    <w:rPr>
      <w:rFonts w:hint="eastAsia" w:ascii="宋体" w:hAnsi="宋体" w:eastAsia="宋体" w:cs="宋体"/>
      <w:b/>
      <w:bCs/>
      <w:color w:val="000000"/>
      <w:sz w:val="24"/>
      <w:szCs w:val="24"/>
      <w:u w:val="none"/>
    </w:rPr>
  </w:style>
  <w:style w:type="paragraph" w:customStyle="1" w:styleId="33">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4">
    <w:name w:val="柴_文档名"/>
    <w:basedOn w:val="19"/>
    <w:qFormat/>
    <w:uiPriority w:val="0"/>
    <w:pPr>
      <w:spacing w:after="900" w:afterLines="900"/>
    </w:pPr>
    <w:rPr>
      <w:rFonts w:ascii="黑体" w:hAnsi="黑体" w:eastAsia="黑体" w:cs="黑体"/>
      <w:bCs/>
      <w:spacing w:val="-7"/>
      <w:sz w:val="52"/>
      <w:szCs w:val="52"/>
    </w:rPr>
  </w:style>
  <w:style w:type="paragraph" w:customStyle="1" w:styleId="35">
    <w:name w:val="WPSOffice手动目录 1"/>
    <w:qFormat/>
    <w:uiPriority w:val="0"/>
    <w:pPr>
      <w:ind w:leftChars="0"/>
    </w:pPr>
    <w:rPr>
      <w:rFonts w:ascii="Times New Roman" w:hAnsi="Times New Roman" w:eastAsia="宋体" w:cs="Times New Roman"/>
      <w:sz w:val="20"/>
      <w:szCs w:val="20"/>
    </w:rPr>
  </w:style>
  <w:style w:type="paragraph" w:customStyle="1" w:styleId="36">
    <w:name w:val="WPSOffice手动目录 2"/>
    <w:qFormat/>
    <w:uiPriority w:val="0"/>
    <w:pPr>
      <w:ind w:leftChars="200"/>
    </w:pPr>
    <w:rPr>
      <w:rFonts w:ascii="Times New Roman" w:hAnsi="Times New Roman" w:eastAsia="宋体" w:cs="Times New Roman"/>
      <w:sz w:val="20"/>
      <w:szCs w:val="20"/>
    </w:rPr>
  </w:style>
  <w:style w:type="paragraph" w:customStyle="1" w:styleId="37">
    <w:name w:val="WPSOffice手动目录 3"/>
    <w:qFormat/>
    <w:uiPriority w:val="0"/>
    <w:pPr>
      <w:ind w:leftChars="400"/>
    </w:pPr>
    <w:rPr>
      <w:rFonts w:ascii="Times New Roman" w:hAnsi="Times New Roman" w:eastAsia="宋体" w:cs="Times New Roman"/>
      <w:sz w:val="20"/>
      <w:szCs w:val="20"/>
    </w:rPr>
  </w:style>
  <w:style w:type="paragraph" w:customStyle="1" w:styleId="38">
    <w:name w:val="Compact"/>
    <w:basedOn w:val="12"/>
    <w:qFormat/>
    <w:uiPriority w:val="0"/>
    <w:pPr>
      <w:spacing w:before="36" w:after="36"/>
    </w:pPr>
  </w:style>
  <w:style w:type="table" w:customStyle="1" w:styleId="39">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0">
    <w:name w:val="柴_标题1 Char"/>
    <w:link w:val="26"/>
    <w:qFormat/>
    <w:uiPriority w:val="0"/>
    <w:rPr>
      <w:rFonts w:ascii="Arial" w:hAnsi="Arial" w:eastAsia="宋体"/>
      <w:sz w:val="32"/>
    </w:r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2138</Words>
  <Characters>2245</Characters>
  <Lines>0</Lines>
  <Paragraphs>0</Paragraphs>
  <TotalTime>0</TotalTime>
  <ScaleCrop>false</ScaleCrop>
  <LinksUpToDate>false</LinksUpToDate>
  <CharactersWithSpaces>2343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2025-08-21T04:40:00Z</dcterms:created>
  <dc:creator>谢永刚</dc:creator>
  <cp:lastModifiedBy>郝宇</cp:lastModifiedBy>
  <dcterms:modified xsi:type="dcterms:W3CDTF">2026-01-30T16:58:35Z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2025-08-27T11:19:18Z</vt:filetime>
  </property>
  <property fmtid="{D5CDD505-2E9C-101B-9397-08002B2CF9AE}" pid="3" name="CRO">
    <vt:lpwstr>wqlLaW5nc29mdCBQREYgdG8gV1BTIDExNQ</vt:lpwstr>
  </property>
  <property fmtid="{D5CDD505-2E9C-101B-9397-08002B2CF9AE}" pid="4" name="ICV">
    <vt:lpwstr>27FDA18FB9FD44CBA913BF36D808A315_12</vt:lpwstr>
  </property>
  <property fmtid="{D5CDD505-2E9C-101B-9397-08002B2CF9AE}" pid="5" name="KSOProductBuildVer">
    <vt:lpwstr>2052-12.1.0.24657</vt:lpwstr>
  </property>
  <property fmtid="{D5CDD505-2E9C-101B-9397-08002B2CF9AE}" pid="6" name="KSOTemplateDocerSaveRecord">
    <vt:lpwstr>eyJoZGlkIjoiZWI4NmUzMGY2ODA3MDc4ZTFlMjZjZTAyMjM0NmVmODgiLCJ1c2VySWQiOiIxMDc1MzgyOSJ9</vt:lpwstr>
  </property>
</Properties>
</file>