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6353"/>
      <w:r>
        <w:t>运维服务工具应用情况说明</w:t>
      </w:r>
      <w:bookmarkEnd w:id="0"/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9550"/>
      <w:r>
        <w:t>中达丰集团有限公司</w:t>
      </w:r>
      <w:bookmarkEnd w:id="1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2025年1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月20日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9656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t>运维服务工具应用情况说明（ZDFJT-ITS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YW</w:t>
            </w:r>
            <w:r>
              <w:rPr>
                <w:spacing w:val="-1"/>
              </w:rPr>
              <w:t>GJYYQKSM）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-20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E5A57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_Toc26353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运维服务工具应用情况说明</w:t>
          </w:r>
          <w:r>
            <w:tab/>
          </w:r>
          <w:r>
            <w:fldChar w:fldCharType="begin"/>
          </w:r>
          <w:r>
            <w:instrText xml:space="preserve"> PAGEREF _Toc26353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18E25A9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_Toc9550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_Toc9550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4D5DA9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_Toc9656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_Toc9656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AFE155D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_Toc18473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过程管理工具</w:t>
          </w:r>
          <w:r>
            <w:tab/>
          </w:r>
          <w:r>
            <w:fldChar w:fldCharType="begin"/>
          </w:r>
          <w:r>
            <w:instrText xml:space="preserve"> PAGEREF _Toc18473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666849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_Toc13109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名称</w:t>
          </w:r>
          <w:r>
            <w:tab/>
          </w:r>
          <w:r>
            <w:fldChar w:fldCharType="begin"/>
          </w:r>
          <w:r>
            <w:instrText xml:space="preserve"> PAGEREF _Toc13109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6CCA252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_Toc679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来源</w:t>
          </w:r>
          <w:r>
            <w:tab/>
          </w:r>
          <w:r>
            <w:fldChar w:fldCharType="begin"/>
          </w:r>
          <w:r>
            <w:instrText xml:space="preserve"> PAGEREF _Toc679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E257809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_Toc2944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应用</w:t>
          </w:r>
          <w:r>
            <w:rPr>
              <w:rFonts w:hint="eastAsia"/>
              <w:lang w:val="en-US" w:eastAsia="zh-CN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_Toc2944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160A9A8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_Toc20630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具体功能描述</w:t>
          </w:r>
          <w:r>
            <w:tab/>
          </w:r>
          <w:r>
            <w:fldChar w:fldCharType="begin"/>
          </w:r>
          <w:r>
            <w:instrText xml:space="preserve"> PAGEREF _Toc20630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A247128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_Toc21218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运维报表</w:t>
          </w:r>
          <w:r>
            <w:tab/>
          </w:r>
          <w:r>
            <w:fldChar w:fldCharType="begin"/>
          </w:r>
          <w:r>
            <w:instrText xml:space="preserve"> PAGEREF _Toc21218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BF1520A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_Toc17929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账单申诉</w:t>
          </w:r>
          <w:r>
            <w:tab/>
          </w:r>
          <w:r>
            <w:fldChar w:fldCharType="begin"/>
          </w:r>
          <w:r>
            <w:instrText xml:space="preserve"> PAGEREF _Toc17929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A17ECC4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_Toc29278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停车记录</w:t>
          </w:r>
          <w:r>
            <w:tab/>
          </w:r>
          <w:r>
            <w:fldChar w:fldCharType="begin"/>
          </w:r>
          <w:r>
            <w:instrText xml:space="preserve"> PAGEREF _Toc29278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1ABE1C6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_Toc16430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事件处理</w:t>
          </w:r>
          <w:r>
            <w:tab/>
          </w:r>
          <w:r>
            <w:fldChar w:fldCharType="begin"/>
          </w:r>
          <w:r>
            <w:instrText xml:space="preserve"> PAGEREF _Toc16430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1C4480C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_Toc29124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事件中心</w:t>
          </w:r>
          <w:r>
            <w:tab/>
          </w:r>
          <w:r>
            <w:fldChar w:fldCharType="begin"/>
          </w:r>
          <w:r>
            <w:instrText xml:space="preserve"> PAGEREF _Toc29124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0FA4669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_Toc4512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事件检索</w:t>
          </w:r>
          <w:r>
            <w:tab/>
          </w:r>
          <w:r>
            <w:fldChar w:fldCharType="begin"/>
          </w:r>
          <w:r>
            <w:instrText xml:space="preserve"> PAGEREF _Toc4512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6D9A8D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_Toc17183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应用情况</w:t>
          </w:r>
          <w:r>
            <w:tab/>
          </w:r>
          <w:r>
            <w:fldChar w:fldCharType="begin"/>
          </w:r>
          <w:r>
            <w:instrText xml:space="preserve"> PAGEREF _Toc17183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2418693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_Toc11930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1.5.1. </w:t>
          </w:r>
          <w:r>
            <w:rPr>
              <w:rFonts w:hint="eastAsia"/>
              <w:lang w:val="en-US" w:eastAsia="zh-CN"/>
            </w:rPr>
            <w:t>服务请求与客诉处理流程</w:t>
          </w:r>
          <w:r>
            <w:tab/>
          </w:r>
          <w:r>
            <w:fldChar w:fldCharType="begin"/>
          </w:r>
          <w:r>
            <w:instrText xml:space="preserve"> PAGEREF _Toc11930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2A0BF7C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_Toc4787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1.5.2. </w:t>
          </w:r>
          <w:r>
            <w:rPr>
              <w:rFonts w:hint="eastAsia"/>
              <w:lang w:val="en-US" w:eastAsia="zh-CN"/>
            </w:rPr>
            <w:t>安全与运维事件响应流程</w:t>
          </w:r>
          <w:r>
            <w:tab/>
          </w:r>
          <w:r>
            <w:fldChar w:fldCharType="begin"/>
          </w:r>
          <w:r>
            <w:instrText xml:space="preserve"> PAGEREF _Toc4787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080D0C2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_Toc16246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1.5.3. </w:t>
          </w:r>
          <w:r>
            <w:rPr>
              <w:rFonts w:hint="eastAsia"/>
              <w:lang w:val="en-US" w:eastAsia="zh-CN"/>
            </w:rPr>
            <w:t>运营数据分析与审计流程</w:t>
          </w:r>
          <w:r>
            <w:tab/>
          </w:r>
          <w:r>
            <w:fldChar w:fldCharType="begin"/>
          </w:r>
          <w:r>
            <w:instrText xml:space="preserve"> PAGEREF _Toc16246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78726AD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_Toc2037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1.5.4. </w:t>
          </w:r>
          <w:r>
            <w:rPr>
              <w:rFonts w:hint="eastAsia"/>
              <w:lang w:val="en-US" w:eastAsia="zh-CN"/>
            </w:rPr>
            <w:t>当前应用成效</w:t>
          </w:r>
          <w:r>
            <w:tab/>
          </w:r>
          <w:r>
            <w:fldChar w:fldCharType="begin"/>
          </w:r>
          <w:r>
            <w:instrText xml:space="preserve"> PAGEREF _Toc2037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84371A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_Toc29779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_Toc29779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C4EF9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_Toc1814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监控工具</w:t>
          </w:r>
          <w:r>
            <w:tab/>
          </w:r>
          <w:r>
            <w:fldChar w:fldCharType="begin"/>
          </w:r>
          <w:r>
            <w:instrText xml:space="preserve"> PAGEREF _Toc1814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1C76549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_Toc2790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名称</w:t>
          </w:r>
          <w:r>
            <w:tab/>
          </w:r>
          <w:r>
            <w:fldChar w:fldCharType="begin"/>
          </w:r>
          <w:r>
            <w:instrText xml:space="preserve"> PAGEREF _Toc2790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2076B8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_Toc16413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来源</w:t>
          </w:r>
          <w:r>
            <w:tab/>
          </w:r>
          <w:r>
            <w:fldChar w:fldCharType="begin"/>
          </w:r>
          <w:r>
            <w:instrText xml:space="preserve"> PAGEREF _Toc16413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9DDB07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_Toc16309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应用目标</w:t>
          </w:r>
          <w:r>
            <w:tab/>
          </w:r>
          <w:r>
            <w:fldChar w:fldCharType="begin"/>
          </w:r>
          <w:r>
            <w:instrText xml:space="preserve"> PAGEREF _Toc16309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1F5EE4A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_Toc32678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具体功能描述</w:t>
          </w:r>
          <w:r>
            <w:tab/>
          </w:r>
          <w:r>
            <w:fldChar w:fldCharType="begin"/>
          </w:r>
          <w:r>
            <w:instrText xml:space="preserve"> PAGEREF _Toc32678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E6E5AAE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_Toc28243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应用情况</w:t>
          </w:r>
          <w:r>
            <w:tab/>
          </w:r>
          <w:r>
            <w:fldChar w:fldCharType="begin"/>
          </w:r>
          <w:r>
            <w:instrText xml:space="preserve"> PAGEREF _Toc28243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913537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_Toc5822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7FB28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24E679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EE3C3F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8473"/>
      <w:r>
        <w:t>过程管理工具</w:t>
      </w:r>
      <w:bookmarkEnd w:id="3"/>
    </w:p>
    <w:p w14:paraId="261B79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23"/>
      <w:bookmarkEnd w:id="4"/>
      <w:bookmarkStart w:id="5" w:name="_Toc13109"/>
      <w:r>
        <w:t>名称</w:t>
      </w:r>
      <w:bookmarkEnd w:id="5"/>
    </w:p>
    <w:p w14:paraId="02DD3A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江苏智慧双湖管理系统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1C2A4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综合安防管理平台</w:t>
      </w:r>
    </w:p>
    <w:p w14:paraId="46C23C0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24"/>
      <w:bookmarkEnd w:id="6"/>
      <w:bookmarkStart w:id="7" w:name="_Toc679"/>
      <w:r>
        <w:t>来源</w:t>
      </w:r>
      <w:bookmarkEnd w:id="7"/>
    </w:p>
    <w:p w14:paraId="3E5002AB">
      <w:pPr>
        <w:pStyle w:val="27"/>
        <w:bidi w:val="0"/>
      </w:pPr>
      <w:r>
        <w:rPr>
          <w:rFonts w:hint="eastAsia"/>
          <w:lang w:val="en-US" w:eastAsia="zh-CN"/>
        </w:rPr>
        <w:t>江苏智慧双湖管理系统：自研</w:t>
      </w:r>
    </w:p>
    <w:p w14:paraId="52C0F004">
      <w:pPr>
        <w:pStyle w:val="27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综合安防管理平台：外购</w:t>
      </w:r>
    </w:p>
    <w:p w14:paraId="6C59BC7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2944"/>
      <w:r>
        <w:t>应用</w:t>
      </w:r>
      <w:r>
        <w:rPr>
          <w:rFonts w:hint="eastAsia"/>
          <w:lang w:val="en-US" w:eastAsia="zh-CN"/>
        </w:rPr>
        <w:t>目标</w:t>
      </w:r>
      <w:bookmarkEnd w:id="8"/>
    </w:p>
    <w:p w14:paraId="4DE42FDA">
      <w:pPr>
        <w:pStyle w:val="27"/>
        <w:bidi w:val="0"/>
      </w:pPr>
      <w:r>
        <w:t>通过构建账单申诉、安全事件处置、安防事件处理及设备资产配置等标准化流程，将用户反馈、</w:t>
      </w:r>
      <w:bookmarkStart w:id="29" w:name="_GoBack"/>
      <w:bookmarkEnd w:id="29"/>
      <w:r>
        <w:t>运维告警与安全威胁等各类服务请求转化为可追踪、可派发、可闭环的电子工单，实现对客服响应、安全运维、设备维护等核心运营活动的规范化、流程化管理，确保每项任务责任到人、过程可控、结果可查，从而提升跨部门协作效率与服务交付质量。</w:t>
      </w:r>
    </w:p>
    <w:p w14:paraId="7BA0777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0630"/>
      <w:r>
        <w:rPr>
          <w:rFonts w:hint="eastAsia"/>
          <w:lang w:val="en-US" w:eastAsia="zh-CN"/>
        </w:rPr>
        <w:t>具体功能描述</w:t>
      </w:r>
      <w:bookmarkEnd w:id="9"/>
    </w:p>
    <w:p w14:paraId="6E194625">
      <w:pPr>
        <w:pStyle w:val="29"/>
        <w:bidi w:val="0"/>
        <w:rPr>
          <w:rFonts w:hint="eastAsia"/>
          <w:lang w:val="en-US" w:eastAsia="zh-CN"/>
        </w:rPr>
      </w:pPr>
      <w:bookmarkStart w:id="10" w:name="_Toc21218"/>
      <w:r>
        <w:rPr>
          <w:rFonts w:hint="eastAsia"/>
          <w:lang w:val="en-US" w:eastAsia="zh-CN"/>
        </w:rPr>
        <w:t>运维报表</w:t>
      </w:r>
      <w:bookmarkEnd w:id="10"/>
    </w:p>
    <w:p w14:paraId="7F7108A9">
      <w:pPr>
        <w:pStyle w:val="29"/>
        <w:bidi w:val="0"/>
        <w:rPr>
          <w:rFonts w:hint="eastAsia"/>
          <w:lang w:val="en-US" w:eastAsia="zh-CN"/>
        </w:rPr>
      </w:pPr>
      <w:bookmarkStart w:id="11" w:name="_Toc17929"/>
      <w:r>
        <w:rPr>
          <w:rFonts w:hint="eastAsia"/>
          <w:lang w:val="en-US" w:eastAsia="zh-CN"/>
        </w:rPr>
        <w:t>账单申诉</w:t>
      </w:r>
      <w:bookmarkEnd w:id="11"/>
    </w:p>
    <w:p w14:paraId="2EE35A27">
      <w:pPr>
        <w:pStyle w:val="29"/>
        <w:bidi w:val="0"/>
        <w:rPr>
          <w:rFonts w:hint="eastAsia"/>
          <w:lang w:val="en-US" w:eastAsia="zh-CN"/>
        </w:rPr>
      </w:pPr>
      <w:bookmarkStart w:id="12" w:name="_Toc29278"/>
      <w:r>
        <w:rPr>
          <w:rFonts w:hint="eastAsia"/>
          <w:lang w:val="en-US" w:eastAsia="zh-CN"/>
        </w:rPr>
        <w:t>停车记录</w:t>
      </w:r>
      <w:bookmarkEnd w:id="12"/>
    </w:p>
    <w:p w14:paraId="3A369EEC">
      <w:pPr>
        <w:pStyle w:val="29"/>
        <w:bidi w:val="0"/>
        <w:rPr>
          <w:rFonts w:hint="eastAsia"/>
          <w:lang w:val="en-US" w:eastAsia="zh-CN"/>
        </w:rPr>
      </w:pPr>
      <w:bookmarkStart w:id="13" w:name="_Toc16430"/>
      <w:r>
        <w:rPr>
          <w:rFonts w:hint="eastAsia"/>
          <w:lang w:val="en-US" w:eastAsia="zh-CN"/>
        </w:rPr>
        <w:t>事件处理</w:t>
      </w:r>
      <w:bookmarkEnd w:id="13"/>
    </w:p>
    <w:p w14:paraId="2F2443EB">
      <w:pPr>
        <w:pStyle w:val="29"/>
        <w:bidi w:val="0"/>
        <w:rPr>
          <w:rFonts w:hint="eastAsia"/>
          <w:lang w:val="en-US" w:eastAsia="zh-CN"/>
        </w:rPr>
      </w:pPr>
      <w:bookmarkStart w:id="14" w:name="_Toc29124"/>
      <w:r>
        <w:rPr>
          <w:rFonts w:hint="eastAsia"/>
          <w:lang w:val="en-US" w:eastAsia="zh-CN"/>
        </w:rPr>
        <w:t>事件中心</w:t>
      </w:r>
      <w:bookmarkEnd w:id="14"/>
    </w:p>
    <w:p w14:paraId="78104FA6">
      <w:pPr>
        <w:pStyle w:val="29"/>
        <w:bidi w:val="0"/>
        <w:rPr>
          <w:rFonts w:hint="eastAsia"/>
          <w:lang w:val="en-US" w:eastAsia="zh-CN"/>
        </w:rPr>
      </w:pPr>
      <w:bookmarkStart w:id="15" w:name="_Toc4512"/>
      <w:r>
        <w:rPr>
          <w:rFonts w:hint="eastAsia"/>
          <w:lang w:val="en-US" w:eastAsia="zh-CN"/>
        </w:rPr>
        <w:t>事件检索</w:t>
      </w:r>
      <w:bookmarkEnd w:id="15"/>
    </w:p>
    <w:p w14:paraId="28B51258">
      <w:pPr>
        <w:pStyle w:val="28"/>
        <w:bidi w:val="0"/>
        <w:rPr>
          <w:rFonts w:hint="default"/>
          <w:lang w:val="en-US" w:eastAsia="zh-CN"/>
        </w:rPr>
      </w:pPr>
      <w:bookmarkStart w:id="16" w:name="_Toc17183"/>
      <w:r>
        <w:rPr>
          <w:rFonts w:hint="eastAsia"/>
          <w:lang w:val="en-US" w:eastAsia="zh-CN"/>
        </w:rPr>
        <w:t>应用情况</w:t>
      </w:r>
      <w:bookmarkEnd w:id="16"/>
    </w:p>
    <w:p w14:paraId="27A2E765">
      <w:pPr>
        <w:pStyle w:val="29"/>
        <w:bidi w:val="0"/>
        <w:rPr>
          <w:rFonts w:hint="default"/>
          <w:lang w:val="en-US" w:eastAsia="zh-CN"/>
        </w:rPr>
      </w:pPr>
      <w:bookmarkStart w:id="17" w:name="_Toc11930"/>
      <w:r>
        <w:rPr>
          <w:rFonts w:hint="eastAsia"/>
          <w:lang w:val="en-US" w:eastAsia="zh-CN"/>
        </w:rPr>
        <w:t>服务请求与客诉处理流程</w:t>
      </w:r>
      <w:bookmarkEnd w:id="17"/>
    </w:p>
    <w:p w14:paraId="35A35E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已建立标准化的用户账单申诉通道，支持微信小程序、公众号等多渠道来源的申诉接入。客服人员可在系统中查看“计费有误”“停车时间有误”等各类申诉工单，按照“客服审核→处理完成”的标准流程进行处理并记录处理结果，确保用户问题得到及时响应和闭环解决。</w:t>
      </w:r>
    </w:p>
    <w:p w14:paraId="206CAFA6">
      <w:pPr>
        <w:pStyle w:val="29"/>
        <w:bidi w:val="0"/>
        <w:rPr>
          <w:rFonts w:hint="eastAsia"/>
          <w:lang w:val="en-US" w:eastAsia="zh-CN"/>
        </w:rPr>
      </w:pPr>
      <w:bookmarkStart w:id="18" w:name="_Toc4787"/>
      <w:r>
        <w:rPr>
          <w:rFonts w:hint="eastAsia"/>
          <w:lang w:val="en-US" w:eastAsia="zh-CN"/>
        </w:rPr>
        <w:t>安全与运维事件响应流程</w:t>
      </w:r>
      <w:bookmarkEnd w:id="18"/>
    </w:p>
    <w:p w14:paraId="5430F6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已实现对安全攻击、设备故障、视频异常等各类事件的集中管理。事件处理中心提供“待办、处理中、已审批”等状态分类，支持按事件类型、等级、时间等多维度检索与筛选。运维人员可通过该流程对防火墙攻击事件执行“永久封锁”、对安防事件进行“确认处置”，确保安全与运维事件从发现、分派到处置的全流程可追踪。</w:t>
      </w:r>
    </w:p>
    <w:p w14:paraId="6FA5F363">
      <w:pPr>
        <w:pStyle w:val="29"/>
        <w:bidi w:val="0"/>
        <w:rPr>
          <w:rFonts w:hint="eastAsia"/>
          <w:lang w:val="en-US" w:eastAsia="zh-CN"/>
        </w:rPr>
      </w:pPr>
      <w:bookmarkStart w:id="19" w:name="_Toc16246"/>
      <w:r>
        <w:rPr>
          <w:rFonts w:hint="eastAsia"/>
          <w:lang w:val="en-US" w:eastAsia="zh-CN"/>
        </w:rPr>
        <w:t>运营数据分析与审计流程</w:t>
      </w:r>
      <w:bookmarkEnd w:id="19"/>
    </w:p>
    <w:p w14:paraId="55B01B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通过停车记录模块详细记录每笔停车订单的入车、出车、支付完整信息，为费用争议核实提供数据支撑。结合运维报表对设备在线率、充电运营数据等关键指标进行统计分析，为运营决策、设备维护和财务对账提供数据依据，实现从业务操作到管理分析的闭环。</w:t>
      </w:r>
    </w:p>
    <w:p w14:paraId="5C291025">
      <w:pPr>
        <w:pStyle w:val="29"/>
        <w:bidi w:val="0"/>
        <w:rPr>
          <w:rFonts w:hint="eastAsia"/>
          <w:lang w:val="en-US" w:eastAsia="zh-CN"/>
        </w:rPr>
      </w:pPr>
      <w:bookmarkStart w:id="20" w:name="_Toc2037"/>
      <w:r>
        <w:rPr>
          <w:rFonts w:hint="eastAsia"/>
          <w:lang w:val="en-US" w:eastAsia="zh-CN"/>
        </w:rPr>
        <w:t>当前应用成效</w:t>
      </w:r>
      <w:bookmarkEnd w:id="20"/>
    </w:p>
    <w:p w14:paraId="3A3F9C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通过上述流程节点的有机整合，系统已初步实现从用户请求、事件响应到数据分析的端到端流程化管理，使客服、运维、安全等不同岗位人员能够在统一平台上协同工作，提升了问题处理效率和运营透明度。</w:t>
      </w:r>
    </w:p>
    <w:p w14:paraId="364DBBC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814"/>
      <w:r>
        <w:t>监控工具</w:t>
      </w:r>
      <w:bookmarkEnd w:id="21"/>
    </w:p>
    <w:p w14:paraId="2327AE3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bookmark26"/>
      <w:bookmarkEnd w:id="22"/>
      <w:bookmarkStart w:id="23" w:name="_Toc2790"/>
      <w:r>
        <w:t>名称</w:t>
      </w:r>
      <w:bookmarkEnd w:id="23"/>
    </w:p>
    <w:p w14:paraId="3CEB700A">
      <w:pPr>
        <w:pStyle w:val="27"/>
        <w:bidi w:val="0"/>
      </w:pPr>
      <w:bookmarkStart w:id="24" w:name="bookmark27"/>
      <w:bookmarkEnd w:id="24"/>
      <w:r>
        <w:rPr>
          <w:rFonts w:hint="eastAsia"/>
          <w:lang w:val="en-US" w:eastAsia="zh-CN"/>
        </w:rPr>
        <w:t>江苏智慧双湖管理系统</w:t>
      </w:r>
      <w:r>
        <w:t>。</w:t>
      </w:r>
    </w:p>
    <w:p w14:paraId="7017DAC5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综合安防管理平台</w:t>
      </w:r>
    </w:p>
    <w:p w14:paraId="6255A90B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深信服防火墙</w:t>
      </w:r>
    </w:p>
    <w:p w14:paraId="3EB7BC5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16413"/>
      <w:r>
        <w:t>来源</w:t>
      </w:r>
      <w:bookmarkEnd w:id="25"/>
    </w:p>
    <w:p w14:paraId="317E5916">
      <w:pPr>
        <w:pStyle w:val="27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江苏智慧双湖管理系统：自研</w:t>
      </w:r>
    </w:p>
    <w:p w14:paraId="7999FFD3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综合安防管理平台：外购</w:t>
      </w:r>
    </w:p>
    <w:p w14:paraId="7D3962B4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深信服防火墙：外购</w:t>
      </w:r>
    </w:p>
    <w:p w14:paraId="1946E9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16309"/>
      <w:r>
        <w:t>应用目标</w:t>
      </w:r>
      <w:bookmarkEnd w:id="26"/>
    </w:p>
    <w:p w14:paraId="27CE421B">
      <w:pPr>
        <w:pStyle w:val="27"/>
        <w:bidi w:val="0"/>
      </w:pPr>
      <w:r>
        <w:rPr>
          <w:rFonts w:hint="eastAsia"/>
        </w:rPr>
        <w:t>通过对江苏智慧双湖管理系统、综合安防管理平台、深信服防火墙三类关键系统的集中监控与可视化，实现对城市公共设施运行状态、安防设备健康度及网络安全态势的全面实时感知、异常快速发现与智能预警，构建“物联-安防-网络”一体化的立体监控体系，为城市运营管理、安全防护和风险决策提供统一、直观、可靠的数据支撑与态势呈现。</w:t>
      </w:r>
    </w:p>
    <w:p w14:paraId="0EFF226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32678"/>
      <w:r>
        <w:rPr>
          <w:rFonts w:hint="eastAsia"/>
          <w:lang w:val="en-US" w:eastAsia="zh-CN"/>
        </w:rPr>
        <w:t>具体功能描述</w:t>
      </w:r>
      <w:bookmarkEnd w:id="27"/>
    </w:p>
    <w:p w14:paraId="343EB23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业务安全</w:t>
      </w:r>
    </w:p>
    <w:p w14:paraId="4DD108D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运维报表</w:t>
      </w:r>
    </w:p>
    <w:p w14:paraId="64725BC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电站监控</w:t>
      </w:r>
    </w:p>
    <w:p w14:paraId="723FD4B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用户攻击事件</w:t>
      </w:r>
    </w:p>
    <w:p w14:paraId="34A507C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设备状态概况</w:t>
      </w:r>
    </w:p>
    <w:p w14:paraId="7F3AEA7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设备管理</w:t>
      </w:r>
    </w:p>
    <w:p w14:paraId="6BA9375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设备监控</w:t>
      </w:r>
    </w:p>
    <w:p w14:paraId="6FD91D7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用户安全</w:t>
      </w:r>
    </w:p>
    <w:p w14:paraId="54445C0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视频录像检测</w:t>
      </w:r>
    </w:p>
    <w:p w14:paraId="60CAA0F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图上监控</w:t>
      </w:r>
    </w:p>
    <w:p w14:paraId="18B3A28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视频监测</w:t>
      </w:r>
    </w:p>
    <w:p w14:paraId="28FB6AE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运维概况</w:t>
      </w:r>
    </w:p>
    <w:p w14:paraId="5A20C1A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7170AF9"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8243"/>
      <w:r>
        <w:rPr>
          <w:rFonts w:hint="eastAsia"/>
          <w:lang w:val="en-US" w:eastAsia="zh-CN"/>
        </w:rPr>
        <w:t>应用情况</w:t>
      </w:r>
      <w:bookmarkEnd w:id="28"/>
    </w:p>
    <w:p w14:paraId="4A87A7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p w14:paraId="3977F1B9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指标完成情况</w:t>
      </w:r>
    </w:p>
    <w:p w14:paraId="1AAFDD60">
      <w:pPr>
        <w:pStyle w:val="27"/>
        <w:rPr>
          <w:rFonts w:hint="default"/>
          <w:lang w:val="en-US" w:eastAsia="zh-CN"/>
        </w:rPr>
      </w:pP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3ED5F26"/>
    <w:rsid w:val="07B02B10"/>
    <w:rsid w:val="09FB69A5"/>
    <w:rsid w:val="0A5126DF"/>
    <w:rsid w:val="0C3737A1"/>
    <w:rsid w:val="0C5B0590"/>
    <w:rsid w:val="0CAF61E6"/>
    <w:rsid w:val="0DA73361"/>
    <w:rsid w:val="104079A4"/>
    <w:rsid w:val="1721492C"/>
    <w:rsid w:val="1A70446A"/>
    <w:rsid w:val="1BBD74D6"/>
    <w:rsid w:val="1BC81262"/>
    <w:rsid w:val="1CF55E97"/>
    <w:rsid w:val="1EF26B32"/>
    <w:rsid w:val="20484530"/>
    <w:rsid w:val="23E66539"/>
    <w:rsid w:val="270D0281"/>
    <w:rsid w:val="29DA6B40"/>
    <w:rsid w:val="2D7E3C87"/>
    <w:rsid w:val="30E052E7"/>
    <w:rsid w:val="353115DE"/>
    <w:rsid w:val="37660B99"/>
    <w:rsid w:val="391536F1"/>
    <w:rsid w:val="39AA5818"/>
    <w:rsid w:val="3A2D6818"/>
    <w:rsid w:val="3C19028A"/>
    <w:rsid w:val="3C371BD0"/>
    <w:rsid w:val="3C5A3D43"/>
    <w:rsid w:val="3E4E3201"/>
    <w:rsid w:val="3E854E75"/>
    <w:rsid w:val="3F870779"/>
    <w:rsid w:val="413C5988"/>
    <w:rsid w:val="448B59E3"/>
    <w:rsid w:val="46207ACD"/>
    <w:rsid w:val="47B9793D"/>
    <w:rsid w:val="4D5B476E"/>
    <w:rsid w:val="5EC450EE"/>
    <w:rsid w:val="5F9E3142"/>
    <w:rsid w:val="5FB711E9"/>
    <w:rsid w:val="6175345D"/>
    <w:rsid w:val="7BB5399C"/>
    <w:rsid w:val="7EF018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1492</Words>
  <Characters>1672</Characters>
  <Lines>0</Lines>
  <Paragraphs>0</Paragraphs>
  <TotalTime>0</TotalTime>
  <ScaleCrop>false</ScaleCrop>
  <LinksUpToDate>false</LinksUpToDate>
  <CharactersWithSpaces>1806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2026-01-30T17:42:51Z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