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F38D91">
      <w:pPr>
        <w:pStyle w:val="31"/>
        <w:bidi w:val="0"/>
        <w:rPr>
          <w:rFonts w:hint="eastAsia"/>
          <w:lang w:val="en-US" w:eastAsia="zh-CN"/>
        </w:rPr>
      </w:pPr>
    </w:p>
    <w:p w14:paraId="3216EB4F">
      <w:pPr>
        <w:pStyle w:val="31"/>
        <w:bidi w:val="0"/>
      </w:pPr>
      <w:bookmarkStart w:id="0" w:name="_Toc26424"/>
      <w:r>
        <w:rPr>
          <w:rFonts w:hint="eastAsia"/>
          <w:lang w:val="en-US" w:eastAsia="zh-CN"/>
        </w:rPr>
        <w:t>服务知识</w:t>
      </w:r>
      <w:r>
        <w:t>应用提升情况总结说明</w:t>
      </w:r>
      <w:bookmarkEnd w:id="0"/>
    </w:p>
    <w:p w14:paraId="3CAA5A14">
      <w:pPr>
        <w:pStyle w:val="32"/>
        <w:bidi w:val="0"/>
      </w:pPr>
      <w:bookmarkStart w:id="1" w:name="_Toc23495"/>
      <w:r>
        <w:t>中达丰集团有限公司</w:t>
      </w:r>
      <w:bookmarkEnd w:id="1"/>
    </w:p>
    <w:p w14:paraId="07F99685">
      <w:pPr>
        <w:spacing w:before="224" w:line="220" w:lineRule="auto"/>
        <w:ind w:left="2745"/>
        <w:rPr>
          <w:rFonts w:ascii="宋体" w:hAnsi="宋体" w:eastAsia="宋体" w:cs="宋体"/>
          <w:sz w:val="36"/>
          <w:szCs w:val="36"/>
        </w:rPr>
      </w:pPr>
      <w:r>
        <w:rPr>
          <w:rFonts w:ascii="宋体" w:hAnsi="宋体" w:eastAsia="宋体" w:cs="宋体"/>
          <w:spacing w:val="-12"/>
          <w:sz w:val="36"/>
          <w:szCs w:val="36"/>
        </w:rPr>
        <w:t>2025年</w:t>
      </w:r>
      <w:r>
        <w:rPr>
          <w:rFonts w:hint="eastAsia" w:ascii="宋体" w:hAnsi="宋体" w:eastAsia="宋体" w:cs="宋体"/>
          <w:spacing w:val="-12"/>
          <w:sz w:val="36"/>
          <w:szCs w:val="36"/>
          <w:lang w:val="en-US" w:eastAsia="zh-CN"/>
        </w:rPr>
        <w:t>1</w:t>
      </w:r>
      <w:r>
        <w:rPr>
          <w:rFonts w:hint="eastAsia" w:ascii="宋体" w:hAnsi="宋体" w:cs="宋体"/>
          <w:spacing w:val="-12"/>
          <w:sz w:val="36"/>
          <w:szCs w:val="36"/>
          <w:lang w:val="en-US" w:eastAsia="zh-CN"/>
        </w:rPr>
        <w:t>2</w:t>
      </w:r>
      <w:r>
        <w:rPr>
          <w:rFonts w:ascii="宋体" w:hAnsi="宋体" w:eastAsia="宋体" w:cs="宋体"/>
          <w:spacing w:val="-12"/>
          <w:sz w:val="36"/>
          <w:szCs w:val="36"/>
        </w:rPr>
        <w:t>月20日</w:t>
      </w:r>
    </w:p>
    <w:p w14:paraId="42AA40F3">
      <w:pPr>
        <w:spacing w:line="220" w:lineRule="auto"/>
        <w:rPr>
          <w:rFonts w:ascii="宋体" w:hAnsi="宋体" w:eastAsia="宋体" w:cs="宋体"/>
          <w:sz w:val="36"/>
          <w:szCs w:val="36"/>
        </w:rPr>
        <w:sectPr>
          <w:headerReference r:id="rId5" w:type="default"/>
          <w:footerReference r:id="rId6" w:type="default"/>
          <w:pgSz w:w="11906" w:h="16839"/>
          <w:pgMar w:top="1431" w:right="1785" w:bottom="0" w:left="1785" w:header="0" w:footer="0" w:gutter="0"/>
          <w:cols w:space="720" w:num="1"/>
        </w:sectPr>
      </w:pPr>
    </w:p>
    <w:p w14:paraId="026EE7C3">
      <w:pPr>
        <w:spacing w:before="91" w:line="220" w:lineRule="auto"/>
        <w:ind w:left="3781"/>
        <w:outlineLvl w:val="0"/>
        <w:rPr>
          <w:rFonts w:ascii="宋体" w:hAnsi="宋体" w:eastAsia="宋体" w:cs="宋体"/>
          <w:sz w:val="28"/>
          <w:szCs w:val="28"/>
        </w:rPr>
      </w:pPr>
      <w:bookmarkStart w:id="2" w:name="_Toc24583"/>
      <w:r>
        <w:rPr>
          <w:rFonts w:ascii="宋体" w:hAnsi="宋体" w:eastAsia="宋体" w:cs="宋体"/>
          <w:spacing w:val="-3"/>
          <w:sz w:val="28"/>
          <w:szCs w:val="28"/>
        </w:rPr>
        <w:t>文档信息</w:t>
      </w:r>
      <w:bookmarkEnd w:id="2"/>
    </w:p>
    <w:p w14:paraId="26F21CC7">
      <w:pPr>
        <w:spacing w:line="117" w:lineRule="exact"/>
      </w:pPr>
    </w:p>
    <w:tbl>
      <w:tblPr>
        <w:tblStyle w:val="24"/>
        <w:tblW w:w="864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47FE40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456030AB">
            <w:pPr>
              <w:pStyle w:val="25"/>
              <w:spacing w:before="139" w:line="220" w:lineRule="auto"/>
              <w:ind w:left="225"/>
            </w:pPr>
            <w:r>
              <w:rPr>
                <w:spacing w:val="-2"/>
              </w:rPr>
              <w:t>文档名称编号</w:t>
            </w:r>
          </w:p>
        </w:tc>
        <w:tc>
          <w:tcPr>
            <w:tcW w:w="6942" w:type="dxa"/>
            <w:gridSpan w:val="4"/>
          </w:tcPr>
          <w:p w14:paraId="3EF39E2C">
            <w:pPr>
              <w:pStyle w:val="25"/>
              <w:spacing w:before="139" w:line="220" w:lineRule="auto"/>
              <w:ind w:left="112"/>
            </w:pPr>
            <w:r>
              <w:rPr>
                <w:rFonts w:hint="eastAsia"/>
                <w:spacing w:val="-1"/>
                <w:lang w:eastAsia="zh-CN"/>
              </w:rPr>
              <w:t>服务知识</w:t>
            </w:r>
            <w:r>
              <w:rPr>
                <w:spacing w:val="-1"/>
              </w:rPr>
              <w:t>应用提升情况总结说明</w:t>
            </w:r>
          </w:p>
        </w:tc>
      </w:tr>
      <w:tr w14:paraId="70E7D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3195E9F1">
            <w:pPr>
              <w:pStyle w:val="25"/>
              <w:spacing w:before="136" w:line="220" w:lineRule="auto"/>
              <w:ind w:left="435"/>
            </w:pPr>
            <w:r>
              <w:rPr>
                <w:spacing w:val="-2"/>
              </w:rPr>
              <w:t>编制单位</w:t>
            </w:r>
          </w:p>
        </w:tc>
        <w:tc>
          <w:tcPr>
            <w:tcW w:w="6942" w:type="dxa"/>
            <w:gridSpan w:val="4"/>
          </w:tcPr>
          <w:p w14:paraId="37D4D3A6">
            <w:pPr>
              <w:pStyle w:val="25"/>
              <w:spacing w:before="137" w:line="219" w:lineRule="auto"/>
              <w:ind w:left="108"/>
            </w:pPr>
            <w:r>
              <w:rPr>
                <w:spacing w:val="-1"/>
              </w:rPr>
              <w:t>中达丰集团有限公司</w:t>
            </w:r>
          </w:p>
        </w:tc>
      </w:tr>
      <w:tr w14:paraId="301D7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5A62152B">
            <w:pPr>
              <w:pStyle w:val="25"/>
              <w:spacing w:before="139" w:line="219" w:lineRule="auto"/>
              <w:ind w:left="435"/>
            </w:pPr>
            <w:r>
              <w:rPr>
                <w:spacing w:val="-2"/>
              </w:rPr>
              <w:t>文档版本</w:t>
            </w:r>
          </w:p>
        </w:tc>
        <w:tc>
          <w:tcPr>
            <w:tcW w:w="1558" w:type="dxa"/>
          </w:tcPr>
          <w:p w14:paraId="75A9E225">
            <w:pPr>
              <w:pStyle w:val="25"/>
              <w:spacing w:before="139" w:line="219" w:lineRule="auto"/>
              <w:ind w:left="361"/>
            </w:pPr>
            <w:r>
              <w:rPr>
                <w:spacing w:val="-2"/>
              </w:rPr>
              <w:t>版本日期</w:t>
            </w:r>
          </w:p>
        </w:tc>
        <w:tc>
          <w:tcPr>
            <w:tcW w:w="2123" w:type="dxa"/>
          </w:tcPr>
          <w:p w14:paraId="4BE0FE88">
            <w:pPr>
              <w:pStyle w:val="25"/>
              <w:spacing w:before="139" w:line="219" w:lineRule="auto"/>
              <w:ind w:left="646"/>
            </w:pPr>
            <w:r>
              <w:rPr>
                <w:spacing w:val="-2"/>
              </w:rPr>
              <w:t>版本说明</w:t>
            </w:r>
          </w:p>
        </w:tc>
        <w:tc>
          <w:tcPr>
            <w:tcW w:w="1699" w:type="dxa"/>
          </w:tcPr>
          <w:p w14:paraId="6FA2A894">
            <w:pPr>
              <w:pStyle w:val="25"/>
              <w:spacing w:before="139" w:line="220" w:lineRule="auto"/>
              <w:ind w:left="594"/>
            </w:pPr>
            <w:r>
              <w:rPr>
                <w:spacing w:val="-5"/>
              </w:rPr>
              <w:t>作</w:t>
            </w:r>
            <w:r>
              <w:rPr>
                <w:spacing w:val="9"/>
              </w:rPr>
              <w:t xml:space="preserve"> </w:t>
            </w:r>
            <w:r>
              <w:rPr>
                <w:spacing w:val="-5"/>
              </w:rPr>
              <w:t>者</w:t>
            </w:r>
          </w:p>
        </w:tc>
        <w:tc>
          <w:tcPr>
            <w:tcW w:w="1562" w:type="dxa"/>
          </w:tcPr>
          <w:p w14:paraId="48EEFEA8">
            <w:pPr>
              <w:pStyle w:val="25"/>
              <w:spacing w:before="139" w:line="220" w:lineRule="auto"/>
              <w:ind w:left="587"/>
            </w:pPr>
            <w:r>
              <w:rPr>
                <w:spacing w:val="-5"/>
              </w:rPr>
              <w:t>审核</w:t>
            </w:r>
          </w:p>
        </w:tc>
      </w:tr>
      <w:tr w14:paraId="5B371C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DB283FC">
            <w:pPr>
              <w:pStyle w:val="25"/>
              <w:spacing w:before="104" w:line="239" w:lineRule="auto"/>
              <w:ind w:left="638"/>
            </w:pPr>
            <w:r>
              <w:rPr>
                <w:spacing w:val="-1"/>
              </w:rPr>
              <w:t>V1.0</w:t>
            </w:r>
          </w:p>
        </w:tc>
        <w:tc>
          <w:tcPr>
            <w:tcW w:w="1558" w:type="dxa"/>
          </w:tcPr>
          <w:p w14:paraId="0A103289">
            <w:pPr>
              <w:pStyle w:val="25"/>
              <w:spacing w:before="104"/>
              <w:ind w:left="362"/>
              <w:rPr>
                <w:rFonts w:hint="eastAsia" w:eastAsia="宋体"/>
                <w:lang w:val="en-US" w:eastAsia="zh-CN"/>
              </w:rPr>
            </w:pPr>
            <w:r>
              <w:rPr>
                <w:spacing w:val="-2"/>
              </w:rPr>
              <w:t>2025-</w:t>
            </w:r>
            <w:r>
              <w:rPr>
                <w:rFonts w:hint="eastAsia"/>
                <w:spacing w:val="-2"/>
                <w:lang w:val="en-US" w:eastAsia="zh-CN"/>
              </w:rPr>
              <w:t>12</w:t>
            </w:r>
            <w:r>
              <w:rPr>
                <w:spacing w:val="-2"/>
              </w:rPr>
              <w:t>-2</w:t>
            </w:r>
            <w:r>
              <w:rPr>
                <w:rFonts w:hint="eastAsia"/>
                <w:spacing w:val="-2"/>
                <w:lang w:val="en-US" w:eastAsia="zh-CN"/>
              </w:rPr>
              <w:t>0</w:t>
            </w:r>
          </w:p>
        </w:tc>
        <w:tc>
          <w:tcPr>
            <w:tcW w:w="2123" w:type="dxa"/>
          </w:tcPr>
          <w:p w14:paraId="07FC5AC3">
            <w:pPr>
              <w:pStyle w:val="25"/>
              <w:spacing w:before="74" w:line="219" w:lineRule="auto"/>
              <w:ind w:left="648"/>
            </w:pPr>
            <w:r>
              <w:rPr>
                <w:spacing w:val="-3"/>
              </w:rPr>
              <w:t>发布版本</w:t>
            </w:r>
          </w:p>
        </w:tc>
        <w:tc>
          <w:tcPr>
            <w:tcW w:w="1699" w:type="dxa"/>
          </w:tcPr>
          <w:p w14:paraId="0D40BA37">
            <w:pPr>
              <w:pStyle w:val="25"/>
              <w:spacing w:before="75" w:line="220" w:lineRule="auto"/>
              <w:ind w:left="551"/>
              <w:rPr>
                <w:rFonts w:hint="eastAsia" w:eastAsia="宋体"/>
                <w:lang w:eastAsia="zh-CN"/>
              </w:rPr>
            </w:pPr>
            <w:r>
              <w:rPr>
                <w:rFonts w:hint="eastAsia"/>
                <w:spacing w:val="-5"/>
                <w:lang w:val="en-US" w:eastAsia="zh-CN"/>
              </w:rPr>
              <w:t>肖龙莽</w:t>
            </w:r>
          </w:p>
        </w:tc>
        <w:tc>
          <w:tcPr>
            <w:tcW w:w="1562" w:type="dxa"/>
          </w:tcPr>
          <w:p w14:paraId="5A4EB043">
            <w:pPr>
              <w:pStyle w:val="25"/>
              <w:spacing w:before="74" w:line="220" w:lineRule="auto"/>
              <w:ind w:left="476"/>
            </w:pPr>
            <w:r>
              <w:rPr>
                <w:spacing w:val="-3"/>
              </w:rPr>
              <w:t>吴向阳</w:t>
            </w:r>
          </w:p>
        </w:tc>
      </w:tr>
      <w:tr w14:paraId="03DA1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567F150A">
            <w:pPr>
              <w:rPr>
                <w:rFonts w:ascii="Arial"/>
                <w:sz w:val="21"/>
              </w:rPr>
            </w:pPr>
          </w:p>
        </w:tc>
        <w:tc>
          <w:tcPr>
            <w:tcW w:w="1558" w:type="dxa"/>
          </w:tcPr>
          <w:p w14:paraId="172986FD">
            <w:pPr>
              <w:rPr>
                <w:rFonts w:ascii="Arial"/>
                <w:sz w:val="21"/>
              </w:rPr>
            </w:pPr>
          </w:p>
        </w:tc>
        <w:tc>
          <w:tcPr>
            <w:tcW w:w="2123" w:type="dxa"/>
          </w:tcPr>
          <w:p w14:paraId="0DBA35BF">
            <w:pPr>
              <w:rPr>
                <w:rFonts w:ascii="Arial"/>
                <w:sz w:val="21"/>
              </w:rPr>
            </w:pPr>
          </w:p>
        </w:tc>
        <w:tc>
          <w:tcPr>
            <w:tcW w:w="1699" w:type="dxa"/>
          </w:tcPr>
          <w:p w14:paraId="66397A65">
            <w:pPr>
              <w:rPr>
                <w:rFonts w:ascii="Arial"/>
                <w:sz w:val="21"/>
              </w:rPr>
            </w:pPr>
          </w:p>
        </w:tc>
        <w:tc>
          <w:tcPr>
            <w:tcW w:w="1562" w:type="dxa"/>
          </w:tcPr>
          <w:p w14:paraId="7233AA82">
            <w:pPr>
              <w:rPr>
                <w:rFonts w:ascii="Arial"/>
                <w:sz w:val="21"/>
              </w:rPr>
            </w:pPr>
          </w:p>
        </w:tc>
      </w:tr>
      <w:tr w14:paraId="37DD76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4" w:type="dxa"/>
          </w:tcPr>
          <w:p w14:paraId="18E53BC6">
            <w:pPr>
              <w:rPr>
                <w:rFonts w:ascii="Arial"/>
                <w:sz w:val="21"/>
              </w:rPr>
            </w:pPr>
          </w:p>
        </w:tc>
        <w:tc>
          <w:tcPr>
            <w:tcW w:w="1558" w:type="dxa"/>
          </w:tcPr>
          <w:p w14:paraId="4B0A0189">
            <w:pPr>
              <w:rPr>
                <w:rFonts w:ascii="Arial"/>
                <w:sz w:val="21"/>
              </w:rPr>
            </w:pPr>
          </w:p>
        </w:tc>
        <w:tc>
          <w:tcPr>
            <w:tcW w:w="2123" w:type="dxa"/>
          </w:tcPr>
          <w:p w14:paraId="5DF77ABD">
            <w:pPr>
              <w:rPr>
                <w:rFonts w:ascii="Arial"/>
                <w:sz w:val="21"/>
              </w:rPr>
            </w:pPr>
          </w:p>
        </w:tc>
        <w:tc>
          <w:tcPr>
            <w:tcW w:w="1699" w:type="dxa"/>
          </w:tcPr>
          <w:p w14:paraId="47ABC82D">
            <w:pPr>
              <w:rPr>
                <w:rFonts w:ascii="Arial"/>
                <w:sz w:val="21"/>
              </w:rPr>
            </w:pPr>
          </w:p>
        </w:tc>
        <w:tc>
          <w:tcPr>
            <w:tcW w:w="1562" w:type="dxa"/>
          </w:tcPr>
          <w:p w14:paraId="340E0C69">
            <w:pPr>
              <w:rPr>
                <w:rFonts w:ascii="Arial"/>
                <w:sz w:val="21"/>
              </w:rPr>
            </w:pPr>
          </w:p>
        </w:tc>
      </w:tr>
      <w:tr w14:paraId="17F60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4" w:type="dxa"/>
          </w:tcPr>
          <w:p w14:paraId="1E389C39">
            <w:pPr>
              <w:rPr>
                <w:rFonts w:ascii="Arial"/>
                <w:sz w:val="21"/>
              </w:rPr>
            </w:pPr>
          </w:p>
        </w:tc>
        <w:tc>
          <w:tcPr>
            <w:tcW w:w="1558" w:type="dxa"/>
          </w:tcPr>
          <w:p w14:paraId="60E20BD4">
            <w:pPr>
              <w:rPr>
                <w:rFonts w:ascii="Arial"/>
                <w:sz w:val="21"/>
              </w:rPr>
            </w:pPr>
          </w:p>
        </w:tc>
        <w:tc>
          <w:tcPr>
            <w:tcW w:w="2123" w:type="dxa"/>
          </w:tcPr>
          <w:p w14:paraId="04D4D55D">
            <w:pPr>
              <w:rPr>
                <w:rFonts w:ascii="Arial"/>
                <w:sz w:val="21"/>
              </w:rPr>
            </w:pPr>
          </w:p>
        </w:tc>
        <w:tc>
          <w:tcPr>
            <w:tcW w:w="1699" w:type="dxa"/>
          </w:tcPr>
          <w:p w14:paraId="3E7EA279">
            <w:pPr>
              <w:rPr>
                <w:rFonts w:ascii="Arial"/>
                <w:sz w:val="21"/>
              </w:rPr>
            </w:pPr>
          </w:p>
        </w:tc>
        <w:tc>
          <w:tcPr>
            <w:tcW w:w="1562" w:type="dxa"/>
          </w:tcPr>
          <w:p w14:paraId="21208350">
            <w:pPr>
              <w:rPr>
                <w:rFonts w:ascii="Arial"/>
                <w:sz w:val="21"/>
              </w:rPr>
            </w:pPr>
          </w:p>
        </w:tc>
      </w:tr>
    </w:tbl>
    <w:p w14:paraId="4702D106">
      <w:pPr>
        <w:pStyle w:val="12"/>
      </w:pPr>
    </w:p>
    <w:p w14:paraId="46AECE05">
      <w:r>
        <w:br w:type="page"/>
      </w:r>
    </w:p>
    <w:sdt>
      <w:sdtPr>
        <w:rPr>
          <w:rFonts w:ascii="宋体" w:hAnsi="宋体" w:eastAsia="宋体" w:cs="Arial"/>
          <w:snapToGrid w:val="0"/>
          <w:color w:val="000000"/>
          <w:kern w:val="0"/>
          <w:sz w:val="21"/>
          <w:szCs w:val="21"/>
          <w:lang w:val="en-US" w:eastAsia="en-US" w:bidi="ar-SA"/>
        </w:rPr>
        <w:id w:val="147475748"/>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7797B439">
          <w:pPr>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03686709">
          <w:pPr>
            <w:pStyle w:val="16"/>
            <w:tabs>
              <w:tab w:val="right" w:leader="dot" w:pos="8658"/>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_Toc26424 </w:instrText>
          </w:r>
          <w:r>
            <w:rPr>
              <w:rFonts w:hint="eastAsia" w:ascii="Microsoft JhengHei" w:hAnsi="Microsoft JhengHei" w:eastAsia="Microsoft JhengHei" w:cs="Microsoft JhengHei"/>
              <w:szCs w:val="24"/>
            </w:rPr>
            <w:fldChar w:fldCharType="separate"/>
          </w:r>
          <w:r>
            <w:rPr>
              <w:rFonts w:hint="eastAsia"/>
              <w:lang w:val="en-US" w:eastAsia="zh-CN"/>
            </w:rPr>
            <w:t>服务知识</w:t>
          </w:r>
          <w:r>
            <w:t>应用提升情况总结说明</w:t>
          </w:r>
          <w:r>
            <w:tab/>
          </w:r>
          <w:r>
            <w:fldChar w:fldCharType="begin"/>
          </w:r>
          <w:r>
            <w:instrText xml:space="preserve"> PAGEREF _Toc26424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58BE006F">
          <w:pPr>
            <w:pStyle w:val="16"/>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_Toc23495 </w:instrText>
          </w:r>
          <w:r>
            <w:rPr>
              <w:rFonts w:hint="eastAsia" w:ascii="Microsoft JhengHei" w:hAnsi="Microsoft JhengHei" w:eastAsia="Microsoft JhengHei" w:cs="Microsoft JhengHei"/>
              <w:szCs w:val="24"/>
            </w:rPr>
            <w:fldChar w:fldCharType="separate"/>
          </w:r>
          <w:r>
            <w:t>中达丰集团有限公司</w:t>
          </w:r>
          <w:r>
            <w:tab/>
          </w:r>
          <w:r>
            <w:fldChar w:fldCharType="begin"/>
          </w:r>
          <w:r>
            <w:instrText xml:space="preserve"> PAGEREF _Toc23495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6FA20003">
          <w:pPr>
            <w:pStyle w:val="16"/>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_Toc24583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_Toc24583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7FB7EA63">
          <w:pPr>
            <w:pStyle w:val="16"/>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_Toc29997 </w:instrText>
          </w:r>
          <w:r>
            <w:rPr>
              <w:rFonts w:hint="eastAsia" w:ascii="Microsoft JhengHei" w:hAnsi="Microsoft JhengHei" w:eastAsia="Microsoft JhengHei" w:cs="Microsoft JhengHei"/>
              <w:szCs w:val="24"/>
            </w:rPr>
            <w:fldChar w:fldCharType="separate"/>
          </w:r>
          <w:r>
            <w:rPr>
              <w:rFonts w:hint="default"/>
            </w:rPr>
            <w:t xml:space="preserve">1. </w:t>
          </w:r>
          <w:r>
            <w:rPr>
              <w:rFonts w:hint="eastAsia"/>
              <w:lang w:val="en-US" w:eastAsia="zh-CN"/>
            </w:rPr>
            <w:t>服务知识</w:t>
          </w:r>
          <w:r>
            <w:t>概况</w:t>
          </w:r>
          <w:r>
            <w:tab/>
          </w:r>
          <w:r>
            <w:fldChar w:fldCharType="begin"/>
          </w:r>
          <w:r>
            <w:instrText xml:space="preserve"> PAGEREF _Toc29997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4F3434E">
          <w:pPr>
            <w:pStyle w:val="16"/>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_Toc14587 </w:instrText>
          </w:r>
          <w:r>
            <w:rPr>
              <w:rFonts w:hint="eastAsia" w:ascii="Microsoft JhengHei" w:hAnsi="Microsoft JhengHei" w:eastAsia="Microsoft JhengHei" w:cs="Microsoft JhengHei"/>
              <w:szCs w:val="24"/>
            </w:rPr>
            <w:fldChar w:fldCharType="separate"/>
          </w:r>
          <w:r>
            <w:rPr>
              <w:rFonts w:hint="default"/>
            </w:rPr>
            <w:t xml:space="preserve">2. </w:t>
          </w:r>
          <w:r>
            <w:rPr>
              <w:rFonts w:hint="eastAsia"/>
              <w:lang w:eastAsia="zh-CN"/>
            </w:rPr>
            <w:t>服务知识</w:t>
          </w:r>
          <w:r>
            <w:t>的管理</w:t>
          </w:r>
          <w:r>
            <w:tab/>
          </w:r>
          <w:r>
            <w:fldChar w:fldCharType="begin"/>
          </w:r>
          <w:r>
            <w:instrText xml:space="preserve"> PAGEREF _Toc14587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B1D2181">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_Toc26882 </w:instrText>
          </w:r>
          <w:r>
            <w:rPr>
              <w:rFonts w:hint="eastAsia" w:ascii="Microsoft JhengHei" w:hAnsi="Microsoft JhengHei" w:eastAsia="Microsoft JhengHei" w:cs="Microsoft JhengHei"/>
              <w:szCs w:val="24"/>
            </w:rPr>
            <w:fldChar w:fldCharType="separate"/>
          </w:r>
          <w:r>
            <w:rPr>
              <w:rFonts w:hint="default"/>
            </w:rPr>
            <w:t xml:space="preserve">2.1. </w:t>
          </w:r>
          <w:r>
            <w:t>知识及经验的积累</w:t>
          </w:r>
          <w:r>
            <w:tab/>
          </w:r>
          <w:r>
            <w:fldChar w:fldCharType="begin"/>
          </w:r>
          <w:r>
            <w:instrText xml:space="preserve"> PAGEREF _Toc26882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F1FF760">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_Toc5897 </w:instrText>
          </w:r>
          <w:r>
            <w:rPr>
              <w:rFonts w:hint="eastAsia" w:ascii="Microsoft JhengHei" w:hAnsi="Microsoft JhengHei" w:eastAsia="Microsoft JhengHei" w:cs="Microsoft JhengHei"/>
              <w:szCs w:val="24"/>
            </w:rPr>
            <w:fldChar w:fldCharType="separate"/>
          </w:r>
          <w:r>
            <w:rPr>
              <w:rFonts w:hint="default"/>
            </w:rPr>
            <w:t xml:space="preserve">2.2. </w:t>
          </w:r>
          <w:r>
            <w:t>新员工的培养</w:t>
          </w:r>
          <w:r>
            <w:tab/>
          </w:r>
          <w:r>
            <w:fldChar w:fldCharType="begin"/>
          </w:r>
          <w:r>
            <w:instrText xml:space="preserve"> PAGEREF _Toc5897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2D6FD78D">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_Toc337 </w:instrText>
          </w:r>
          <w:r>
            <w:rPr>
              <w:rFonts w:hint="eastAsia" w:ascii="Microsoft JhengHei" w:hAnsi="Microsoft JhengHei" w:eastAsia="Microsoft JhengHei" w:cs="Microsoft JhengHei"/>
              <w:szCs w:val="24"/>
            </w:rPr>
            <w:fldChar w:fldCharType="separate"/>
          </w:r>
          <w:r>
            <w:rPr>
              <w:rFonts w:hint="default"/>
            </w:rPr>
            <w:t xml:space="preserve">2.3. </w:t>
          </w:r>
          <w:r>
            <w:t>知识和经验的传承</w:t>
          </w:r>
          <w:r>
            <w:tab/>
          </w:r>
          <w:r>
            <w:fldChar w:fldCharType="begin"/>
          </w:r>
          <w:r>
            <w:instrText xml:space="preserve"> PAGEREF _Toc337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726DA35">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_Toc6483 </w:instrText>
          </w:r>
          <w:r>
            <w:rPr>
              <w:rFonts w:hint="eastAsia" w:ascii="Microsoft JhengHei" w:hAnsi="Microsoft JhengHei" w:eastAsia="Microsoft JhengHei" w:cs="Microsoft JhengHei"/>
              <w:szCs w:val="24"/>
            </w:rPr>
            <w:fldChar w:fldCharType="separate"/>
          </w:r>
          <w:r>
            <w:rPr>
              <w:rFonts w:hint="default"/>
            </w:rPr>
            <w:t xml:space="preserve">2.4. </w:t>
          </w:r>
          <w:r>
            <w:t>建设公司的文化</w:t>
          </w:r>
          <w:r>
            <w:tab/>
          </w:r>
          <w:r>
            <w:fldChar w:fldCharType="begin"/>
          </w:r>
          <w:r>
            <w:instrText xml:space="preserve"> PAGEREF _Toc6483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4E47C3AC">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_Toc28908 </w:instrText>
          </w:r>
          <w:r>
            <w:rPr>
              <w:rFonts w:hint="eastAsia" w:ascii="Microsoft JhengHei" w:hAnsi="Microsoft JhengHei" w:eastAsia="Microsoft JhengHei" w:cs="Microsoft JhengHei"/>
              <w:szCs w:val="24"/>
            </w:rPr>
            <w:fldChar w:fldCharType="separate"/>
          </w:r>
          <w:r>
            <w:rPr>
              <w:rFonts w:hint="default"/>
            </w:rPr>
            <w:t xml:space="preserve">2.5. </w:t>
          </w:r>
          <w:r>
            <w:t>有效提升工作效率</w:t>
          </w:r>
          <w:r>
            <w:tab/>
          </w:r>
          <w:r>
            <w:fldChar w:fldCharType="begin"/>
          </w:r>
          <w:r>
            <w:instrText xml:space="preserve"> PAGEREF _Toc28908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333BC4E">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_Toc24247 </w:instrText>
          </w:r>
          <w:r>
            <w:rPr>
              <w:rFonts w:hint="eastAsia" w:ascii="Microsoft JhengHei" w:hAnsi="Microsoft JhengHei" w:eastAsia="Microsoft JhengHei" w:cs="Microsoft JhengHei"/>
              <w:szCs w:val="24"/>
            </w:rPr>
            <w:fldChar w:fldCharType="separate"/>
          </w:r>
          <w:r>
            <w:rPr>
              <w:rFonts w:hint="default"/>
              <w:lang w:val="en-US" w:eastAsia="zh-CN"/>
            </w:rPr>
            <w:t xml:space="preserve">2.6. </w:t>
          </w:r>
          <w:r>
            <w:rPr>
              <w:rFonts w:hint="eastAsia"/>
              <w:lang w:val="en-US" w:eastAsia="zh-CN"/>
            </w:rPr>
            <w:t>指标完成情况</w:t>
          </w:r>
          <w:r>
            <w:tab/>
          </w:r>
          <w:r>
            <w:fldChar w:fldCharType="begin"/>
          </w:r>
          <w:r>
            <w:instrText xml:space="preserve"> PAGEREF _Toc24247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2B0C96E3">
          <w:pPr>
            <w:rPr>
              <w:rFonts w:ascii="Arial" w:hAnsi="Arial" w:eastAsia="Arial" w:cs="Arial"/>
              <w:snapToGrid w:val="0"/>
              <w:color w:val="000000"/>
              <w:kern w:val="0"/>
              <w:sz w:val="21"/>
              <w:szCs w:val="21"/>
              <w:lang w:val="en-US" w:eastAsia="en-US" w:bidi="ar-SA"/>
            </w:rPr>
          </w:pPr>
          <w:r>
            <w:rPr>
              <w:rFonts w:hint="eastAsia" w:ascii="Microsoft JhengHei" w:hAnsi="Microsoft JhengHei" w:eastAsia="Microsoft JhengHei" w:cs="Microsoft JhengHei"/>
              <w:szCs w:val="24"/>
            </w:rPr>
            <w:fldChar w:fldCharType="end"/>
          </w:r>
        </w:p>
      </w:sdtContent>
    </w:sdt>
    <w:p w14:paraId="4B2C37DA">
      <w:pPr>
        <w:rPr>
          <w:rFonts w:ascii="Arial" w:hAnsi="Arial" w:eastAsia="Arial" w:cs="Arial"/>
          <w:snapToGrid w:val="0"/>
          <w:color w:val="000000"/>
          <w:kern w:val="0"/>
          <w:sz w:val="21"/>
          <w:szCs w:val="21"/>
          <w:lang w:val="en-US" w:eastAsia="en-US" w:bidi="ar-SA"/>
        </w:rPr>
        <w:sectPr>
          <w:headerReference r:id="rId7" w:type="default"/>
          <w:footerReference r:id="rId8" w:type="default"/>
          <w:pgSz w:w="11906" w:h="16839"/>
          <w:pgMar w:top="1240" w:right="1624" w:bottom="1157" w:left="1624" w:header="0" w:footer="990" w:gutter="0"/>
          <w:cols w:space="720" w:num="1"/>
        </w:sectPr>
      </w:pPr>
    </w:p>
    <w:p w14:paraId="198E54BD">
      <w:pPr>
        <w:pStyle w:val="26"/>
        <w:bidi w:val="0"/>
      </w:pPr>
      <w:bookmarkStart w:id="3" w:name="_Toc29997"/>
      <w:r>
        <w:rPr>
          <w:rFonts w:hint="eastAsia"/>
          <w:lang w:val="en-US" w:eastAsia="zh-CN"/>
        </w:rPr>
        <w:t>服务知识</w:t>
      </w:r>
      <w:r>
        <w:t>概况</w:t>
      </w:r>
      <w:bookmarkEnd w:id="3"/>
    </w:p>
    <w:p w14:paraId="7C9A8BE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服务知识</w:t>
      </w:r>
      <w:r>
        <w:rPr>
          <w:rFonts w:ascii="宋体" w:hAnsi="宋体" w:eastAsia="宋体" w:cs="宋体"/>
          <w:spacing w:val="-1"/>
          <w:sz w:val="24"/>
          <w:szCs w:val="24"/>
        </w:rPr>
        <w:t>是知识工程中结构化，易操作，易利用，全面有组织的</w:t>
      </w:r>
      <w:r>
        <w:rPr>
          <w:rFonts w:hint="eastAsia" w:ascii="宋体" w:hAnsi="宋体" w:eastAsia="宋体" w:cs="宋体"/>
          <w:sz w:val="24"/>
          <w:szCs w:val="24"/>
          <w:lang w:eastAsia="zh-CN"/>
        </w:rPr>
        <w:t>服务知识</w:t>
      </w:r>
      <w:r>
        <w:rPr>
          <w:rFonts w:ascii="宋体" w:hAnsi="宋体" w:eastAsia="宋体" w:cs="宋体"/>
          <w:sz w:val="24"/>
          <w:szCs w:val="24"/>
        </w:rPr>
        <w:t>集群，是针对某一(或某些)领域问题求解</w:t>
      </w:r>
      <w:r>
        <w:rPr>
          <w:rFonts w:ascii="宋体" w:hAnsi="宋体" w:eastAsia="宋体" w:cs="宋体"/>
          <w:spacing w:val="-1"/>
          <w:sz w:val="24"/>
          <w:szCs w:val="24"/>
        </w:rPr>
        <w:t>的需要，采用某种(或若干)</w:t>
      </w:r>
      <w:r>
        <w:rPr>
          <w:rFonts w:hint="eastAsia" w:ascii="宋体" w:hAnsi="宋体" w:eastAsia="宋体" w:cs="宋体"/>
          <w:spacing w:val="-1"/>
          <w:sz w:val="24"/>
          <w:szCs w:val="24"/>
          <w:lang w:eastAsia="zh-CN"/>
        </w:rPr>
        <w:t>服务知识</w:t>
      </w:r>
      <w:r>
        <w:rPr>
          <w:rFonts w:ascii="宋体" w:hAnsi="宋体" w:eastAsia="宋体" w:cs="宋体"/>
          <w:sz w:val="24"/>
          <w:szCs w:val="24"/>
        </w:rPr>
        <w:t>表示方式在计算机存储器中存储、组织、</w:t>
      </w:r>
      <w:r>
        <w:rPr>
          <w:rFonts w:ascii="宋体" w:hAnsi="宋体" w:eastAsia="宋体" w:cs="宋体"/>
          <w:spacing w:val="-1"/>
          <w:sz w:val="24"/>
          <w:szCs w:val="24"/>
        </w:rPr>
        <w:t>管理和使用的互相联系的</w:t>
      </w:r>
      <w:r>
        <w:rPr>
          <w:rFonts w:hint="eastAsia" w:ascii="宋体" w:hAnsi="宋体" w:eastAsia="宋体" w:cs="宋体"/>
          <w:spacing w:val="-1"/>
          <w:sz w:val="24"/>
          <w:szCs w:val="24"/>
          <w:lang w:eastAsia="zh-CN"/>
        </w:rPr>
        <w:t>服务知识</w:t>
      </w:r>
      <w:r>
        <w:rPr>
          <w:rFonts w:ascii="宋体" w:hAnsi="宋体" w:eastAsia="宋体" w:cs="宋体"/>
          <w:sz w:val="24"/>
          <w:szCs w:val="24"/>
        </w:rPr>
        <w:t>片集合。这些</w:t>
      </w:r>
      <w:r>
        <w:rPr>
          <w:rFonts w:hint="eastAsia" w:ascii="宋体" w:hAnsi="宋体" w:eastAsia="宋体" w:cs="宋体"/>
          <w:sz w:val="24"/>
          <w:szCs w:val="24"/>
          <w:lang w:val="en-US" w:eastAsia="zh-CN"/>
        </w:rPr>
        <w:t>知识</w:t>
      </w:r>
      <w:r>
        <w:rPr>
          <w:rFonts w:ascii="宋体" w:hAnsi="宋体" w:eastAsia="宋体" w:cs="宋体"/>
          <w:sz w:val="24"/>
          <w:szCs w:val="24"/>
        </w:rPr>
        <w:t>包括与领域相关的理论</w:t>
      </w:r>
      <w:r>
        <w:rPr>
          <w:rFonts w:hint="eastAsia" w:ascii="宋体" w:hAnsi="宋体" w:eastAsia="宋体" w:cs="宋体"/>
          <w:spacing w:val="-1"/>
          <w:sz w:val="24"/>
          <w:szCs w:val="24"/>
          <w:lang w:val="en-US" w:eastAsia="zh-CN"/>
        </w:rPr>
        <w:t>服务知识</w:t>
      </w:r>
      <w:r>
        <w:rPr>
          <w:rFonts w:ascii="宋体" w:hAnsi="宋体" w:eastAsia="宋体" w:cs="宋体"/>
          <w:spacing w:val="-1"/>
          <w:sz w:val="24"/>
          <w:szCs w:val="24"/>
        </w:rPr>
        <w:t>、事实数据，由专家经验</w:t>
      </w:r>
      <w:r>
        <w:rPr>
          <w:rFonts w:ascii="宋体" w:hAnsi="宋体" w:eastAsia="宋体" w:cs="宋体"/>
          <w:sz w:val="24"/>
          <w:szCs w:val="24"/>
        </w:rPr>
        <w:t>得到的启发式</w:t>
      </w:r>
      <w:r>
        <w:rPr>
          <w:rFonts w:hint="eastAsia" w:ascii="宋体" w:hAnsi="宋体" w:eastAsia="宋体" w:cs="宋体"/>
          <w:sz w:val="24"/>
          <w:szCs w:val="24"/>
          <w:lang w:val="en-US" w:eastAsia="zh-CN"/>
        </w:rPr>
        <w:t>服务知识</w:t>
      </w:r>
      <w:r>
        <w:rPr>
          <w:rFonts w:ascii="宋体" w:hAnsi="宋体" w:eastAsia="宋体" w:cs="宋体"/>
          <w:sz w:val="24"/>
          <w:szCs w:val="24"/>
        </w:rPr>
        <w:t>，如某领域内有关的定义</w:t>
      </w:r>
      <w:r>
        <w:rPr>
          <w:rFonts w:ascii="宋体" w:hAnsi="宋体" w:eastAsia="宋体" w:cs="宋体"/>
          <w:spacing w:val="-1"/>
          <w:sz w:val="24"/>
          <w:szCs w:val="24"/>
        </w:rPr>
        <w:t>、定理和运算法则以及常识性</w:t>
      </w:r>
      <w:r>
        <w:rPr>
          <w:rFonts w:hint="eastAsia" w:ascii="宋体" w:hAnsi="宋体" w:eastAsia="宋体" w:cs="宋体"/>
          <w:spacing w:val="-1"/>
          <w:sz w:val="24"/>
          <w:szCs w:val="24"/>
          <w:lang w:eastAsia="zh-CN"/>
        </w:rPr>
        <w:t>服务知识</w:t>
      </w:r>
      <w:r>
        <w:rPr>
          <w:rFonts w:ascii="宋体" w:hAnsi="宋体" w:eastAsia="宋体" w:cs="宋体"/>
          <w:spacing w:val="-10"/>
          <w:sz w:val="24"/>
          <w:szCs w:val="24"/>
        </w:rPr>
        <w:t>等。</w:t>
      </w:r>
    </w:p>
    <w:p w14:paraId="21BD2C8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2" w:firstLineChars="200"/>
        <w:jc w:val="left"/>
        <w:textAlignment w:val="baseline"/>
        <w:rPr>
          <w:rFonts w:ascii="宋体" w:hAnsi="宋体" w:eastAsia="宋体" w:cs="宋体"/>
          <w:sz w:val="24"/>
          <w:szCs w:val="24"/>
        </w:rPr>
      </w:pPr>
      <w:r>
        <w:rPr>
          <w:rFonts w:ascii="宋体" w:hAnsi="宋体" w:eastAsia="宋体" w:cs="宋体"/>
          <w:spacing w:val="-2"/>
          <w:sz w:val="24"/>
          <w:szCs w:val="24"/>
        </w:rPr>
        <w:t>公司</w:t>
      </w:r>
      <w:r>
        <w:rPr>
          <w:rFonts w:hint="eastAsia" w:ascii="宋体" w:hAnsi="宋体" w:eastAsia="宋体" w:cs="宋体"/>
          <w:spacing w:val="-2"/>
          <w:sz w:val="24"/>
          <w:szCs w:val="24"/>
          <w:lang w:val="en-US" w:eastAsia="zh-CN"/>
        </w:rPr>
        <w:t>服务知识</w:t>
      </w:r>
      <w:r>
        <w:rPr>
          <w:rFonts w:ascii="宋体" w:hAnsi="宋体" w:eastAsia="宋体" w:cs="宋体"/>
          <w:spacing w:val="-2"/>
          <w:sz w:val="24"/>
          <w:szCs w:val="24"/>
        </w:rPr>
        <w:t>，其中技术知识类文档包括：技术合同、学习文档、技术方案、</w:t>
      </w:r>
      <w:r>
        <w:rPr>
          <w:rFonts w:ascii="宋体" w:hAnsi="宋体" w:eastAsia="宋体" w:cs="宋体"/>
          <w:sz w:val="24"/>
          <w:szCs w:val="24"/>
        </w:rPr>
        <w:t>问题解决方案、产品白皮书、使用手册、操作手册</w:t>
      </w:r>
      <w:r>
        <w:rPr>
          <w:rFonts w:ascii="宋体" w:hAnsi="宋体" w:eastAsia="宋体" w:cs="宋体"/>
          <w:spacing w:val="-1"/>
          <w:sz w:val="24"/>
          <w:szCs w:val="24"/>
        </w:rPr>
        <w:t>、技术类项目管理过程中各</w:t>
      </w:r>
      <w:r>
        <w:rPr>
          <w:rFonts w:ascii="宋体" w:hAnsi="宋体" w:eastAsia="宋体" w:cs="宋体"/>
          <w:spacing w:val="-2"/>
          <w:sz w:val="24"/>
          <w:szCs w:val="24"/>
        </w:rPr>
        <w:t>个环节所形成的管理文档、技术方案及其它形式的文档材料等。</w:t>
      </w:r>
    </w:p>
    <w:p w14:paraId="6089962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2" w:firstLineChars="200"/>
        <w:jc w:val="left"/>
        <w:textAlignment w:val="baseline"/>
        <w:rPr>
          <w:rFonts w:ascii="宋体" w:hAnsi="宋体" w:eastAsia="宋体" w:cs="宋体"/>
          <w:sz w:val="24"/>
          <w:szCs w:val="24"/>
        </w:rPr>
      </w:pPr>
      <w:r>
        <w:rPr>
          <w:rFonts w:ascii="宋体" w:hAnsi="宋体" w:eastAsia="宋体" w:cs="宋体"/>
          <w:spacing w:val="-2"/>
          <w:sz w:val="24"/>
          <w:szCs w:val="24"/>
        </w:rPr>
        <w:t>日常工作案例、技术问题、技术/用户手册及相关的说明文档都可以作为知识纳入</w:t>
      </w:r>
      <w:r>
        <w:rPr>
          <w:rFonts w:hint="eastAsia" w:ascii="宋体" w:hAnsi="宋体" w:eastAsia="宋体" w:cs="宋体"/>
          <w:spacing w:val="-2"/>
          <w:sz w:val="24"/>
          <w:szCs w:val="24"/>
          <w:lang w:val="en-US" w:eastAsia="zh-CN"/>
        </w:rPr>
        <w:t>服务知识</w:t>
      </w:r>
      <w:r>
        <w:rPr>
          <w:rFonts w:ascii="宋体" w:hAnsi="宋体" w:eastAsia="宋体" w:cs="宋体"/>
          <w:spacing w:val="-2"/>
          <w:sz w:val="24"/>
          <w:szCs w:val="24"/>
        </w:rPr>
        <w:t>。知识按照技术服务的对象的不同进行分类，大致分为基础环境、主机运维服务、存储运维服务、网络运维服务、桌面、基础软件、应用软件、</w:t>
      </w:r>
    </w:p>
    <w:p w14:paraId="226ACC7F">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2" w:firstLineChars="200"/>
        <w:jc w:val="left"/>
        <w:textAlignment w:val="baseline"/>
        <w:rPr>
          <w:rFonts w:ascii="宋体" w:hAnsi="宋体" w:eastAsia="宋体" w:cs="宋体"/>
          <w:sz w:val="24"/>
          <w:szCs w:val="24"/>
        </w:rPr>
      </w:pPr>
      <w:r>
        <w:rPr>
          <w:rFonts w:ascii="宋体" w:hAnsi="宋体" w:eastAsia="宋体" w:cs="宋体"/>
          <w:spacing w:val="-2"/>
          <w:sz w:val="24"/>
          <w:szCs w:val="24"/>
        </w:rPr>
        <w:t>其它知识等。服务台以及各类工程师都可以使用</w:t>
      </w:r>
      <w:r>
        <w:rPr>
          <w:rFonts w:hint="eastAsia" w:ascii="宋体" w:hAnsi="宋体" w:eastAsia="宋体" w:cs="宋体"/>
          <w:spacing w:val="-2"/>
          <w:sz w:val="24"/>
          <w:szCs w:val="24"/>
          <w:lang w:val="en-US" w:eastAsia="zh-CN"/>
        </w:rPr>
        <w:t>服务知识</w:t>
      </w:r>
      <w:r>
        <w:rPr>
          <w:rFonts w:ascii="宋体" w:hAnsi="宋体" w:eastAsia="宋体" w:cs="宋体"/>
          <w:spacing w:val="-2"/>
          <w:sz w:val="24"/>
          <w:szCs w:val="24"/>
        </w:rPr>
        <w:t>，进行知识</w:t>
      </w:r>
      <w:r>
        <w:rPr>
          <w:rFonts w:ascii="宋体" w:hAnsi="宋体" w:eastAsia="宋体" w:cs="宋体"/>
          <w:spacing w:val="-3"/>
          <w:sz w:val="24"/>
          <w:szCs w:val="24"/>
        </w:rPr>
        <w:t>搜索和查询，</w:t>
      </w:r>
      <w:r>
        <w:rPr>
          <w:rFonts w:ascii="宋体" w:hAnsi="宋体" w:eastAsia="宋体" w:cs="宋体"/>
          <w:sz w:val="24"/>
          <w:szCs w:val="24"/>
        </w:rPr>
        <w:t>并可以提交日常积累的知识。通过近几年的知识积</w:t>
      </w:r>
      <w:r>
        <w:rPr>
          <w:rFonts w:ascii="宋体" w:hAnsi="宋体" w:eastAsia="宋体" w:cs="宋体"/>
          <w:spacing w:val="-1"/>
          <w:sz w:val="24"/>
          <w:szCs w:val="24"/>
        </w:rPr>
        <w:t>累，目前公司</w:t>
      </w:r>
      <w:r>
        <w:rPr>
          <w:rFonts w:hint="eastAsia" w:ascii="宋体" w:hAnsi="宋体" w:eastAsia="宋体" w:cs="宋体"/>
          <w:spacing w:val="-1"/>
          <w:sz w:val="24"/>
          <w:szCs w:val="24"/>
          <w:lang w:eastAsia="zh-CN"/>
        </w:rPr>
        <w:t>服务知识</w:t>
      </w:r>
      <w:r>
        <w:rPr>
          <w:rFonts w:ascii="宋体" w:hAnsi="宋体" w:eastAsia="宋体" w:cs="宋体"/>
          <w:spacing w:val="-1"/>
          <w:sz w:val="24"/>
          <w:szCs w:val="24"/>
        </w:rPr>
        <w:t>知识各</w:t>
      </w:r>
      <w:r>
        <w:rPr>
          <w:rFonts w:ascii="宋体" w:hAnsi="宋体" w:eastAsia="宋体" w:cs="宋体"/>
          <w:spacing w:val="-3"/>
          <w:sz w:val="24"/>
          <w:szCs w:val="24"/>
        </w:rPr>
        <w:t>类数据560余条，为运维工作提供了有力的支持。</w:t>
      </w:r>
    </w:p>
    <w:p w14:paraId="00688ECB">
      <w:pPr>
        <w:pStyle w:val="26"/>
        <w:bidi w:val="0"/>
      </w:pPr>
      <w:bookmarkStart w:id="4" w:name="_Toc14587"/>
      <w:r>
        <w:rPr>
          <w:rFonts w:hint="eastAsia"/>
          <w:lang w:eastAsia="zh-CN"/>
        </w:rPr>
        <w:t>服务知识</w:t>
      </w:r>
      <w:r>
        <w:t>的管理</w:t>
      </w:r>
      <w:bookmarkEnd w:id="4"/>
    </w:p>
    <w:p w14:paraId="6998847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pPr>
      <w:r>
        <w:rPr>
          <w:rFonts w:ascii="宋体" w:hAnsi="宋体" w:eastAsia="宋体" w:cs="宋体"/>
          <w:spacing w:val="-3"/>
          <w:sz w:val="24"/>
          <w:szCs w:val="24"/>
        </w:rPr>
        <w:t>公司</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的管理是通过</w:t>
      </w:r>
      <w:r>
        <w:rPr>
          <w:rFonts w:hint="eastAsia" w:ascii="宋体" w:hAnsi="宋体" w:eastAsia="宋体" w:cs="宋体"/>
          <w:spacing w:val="-3"/>
          <w:sz w:val="24"/>
          <w:szCs w:val="24"/>
          <w:lang w:val="en-US" w:eastAsia="zh-CN"/>
        </w:rPr>
        <w:t>360安全云数字化协作平台</w:t>
      </w:r>
      <w:r>
        <w:rPr>
          <w:rFonts w:ascii="宋体" w:hAnsi="宋体" w:eastAsia="宋体" w:cs="宋体"/>
          <w:spacing w:val="-3"/>
          <w:sz w:val="24"/>
          <w:szCs w:val="24"/>
        </w:rPr>
        <w:t>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管理模块。在工单建立的过程中，可以从</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中搜索匹配的相关知识，提高了运维工程师的故障处理效率。在工单关闭时，运维工程师可以将好的解决经验转换为知识，供其他运维人员使用。通过</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管理功能，IT部门主管可以方便的了解每位工程师的知识贡献排名，确保知识流传工作可以正常运转。</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按照多个级别进行分类，分类信息将和事件模块，问题模块，配置模块保持一致，方便用户快捷检索。</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管理员可以设定知识共享范围，只有在该范围内的支持人员可以共享该知识条目。</w:t>
      </w:r>
    </w:p>
    <w:p w14:paraId="74EDF149">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hint="eastAsia" w:ascii="宋体" w:hAnsi="宋体" w:eastAsia="宋体" w:cs="宋体"/>
          <w:spacing w:val="-3"/>
          <w:sz w:val="24"/>
          <w:szCs w:val="24"/>
          <w:lang w:val="en-US" w:eastAsia="zh-CN"/>
        </w:rPr>
        <w:t>处置方案建议生成对应的服务知识。</w:t>
      </w:r>
      <w:r>
        <w:rPr>
          <w:rFonts w:ascii="宋体" w:hAnsi="宋体" w:eastAsia="宋体" w:cs="宋体"/>
          <w:spacing w:val="-3"/>
          <w:sz w:val="24"/>
          <w:szCs w:val="24"/>
        </w:rPr>
        <w:t>ITSS对</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的管理要求，实现知识生命周期的有序管理。对公司的运维服务有几方面提升:</w:t>
      </w:r>
    </w:p>
    <w:p w14:paraId="2E650FC4">
      <w:pPr>
        <w:pStyle w:val="28"/>
        <w:bidi w:val="0"/>
      </w:pPr>
      <w:bookmarkStart w:id="5" w:name="_Toc26882"/>
      <w:r>
        <w:t>知识及经验的积累</w:t>
      </w:r>
      <w:bookmarkEnd w:id="5"/>
    </w:p>
    <w:p w14:paraId="47A62FB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将存在于每个员工身上的有用的方法和技能征集上来。对于一些业务骨干和技术能手来说他们是不愿意将自己的知识技能传给其他员工的。通过</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的建设可以将他们的方法技能上传到企业的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里，并且详细注明这些方法技能的作者，这样就能可以极大地增强这些骨干员工的荣誉感，并且通过知识系统，可以做到铁打的营盘，流水的兵。公司知识体系的构建，帮助公司获得高门槛和弹性竞争力，从而使得这些知识技能能够存在企业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里有助于在迅速复制。</w:t>
      </w:r>
    </w:p>
    <w:p w14:paraId="14EF041D">
      <w:pPr>
        <w:pStyle w:val="28"/>
        <w:bidi w:val="0"/>
      </w:pPr>
      <w:bookmarkStart w:id="6" w:name="_Toc5897"/>
      <w:r>
        <w:t>新员工的培养</w:t>
      </w:r>
      <w:bookmarkEnd w:id="6"/>
    </w:p>
    <w:p w14:paraId="79A39CA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基于运维服务团队的人员流动比较大，长时间培训不现实等情况，运维人员都是从日常工作积累中成长起来的。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是运维服务能力建设和提高的基石，不仅可以为新员工提供所需要的知识和技能，还提供互相交流和学习的平台。</w:t>
      </w:r>
    </w:p>
    <w:p w14:paraId="462F2B1B">
      <w:pPr>
        <w:pStyle w:val="28"/>
        <w:bidi w:val="0"/>
      </w:pPr>
      <w:bookmarkStart w:id="7" w:name="_Toc337"/>
      <w:r>
        <w:t>知识和经验的传承</w:t>
      </w:r>
      <w:bookmarkEnd w:id="7"/>
    </w:p>
    <w:p w14:paraId="3BB069A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市场经济时代的到来，使得人才流动成为了常态。有的离职员工通过若干年在工作中的摸爬滚打，不仅掌握了这个岗位所应具备的能力，有的甚至自己有一套行之有效的技能和方法。他们离职后这些独特的技能和方法也会随之不复存在。如果将他们所掌握的技能和方法存入企业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中，即使人离开了企业，但是他所创造出的工作技能和方法依然可以继续为企业的经营生产服务，将员工离职给企业造成的损失降到最低。</w:t>
      </w:r>
    </w:p>
    <w:p w14:paraId="6CCD513F">
      <w:pPr>
        <w:pStyle w:val="28"/>
        <w:bidi w:val="0"/>
      </w:pPr>
      <w:bookmarkStart w:id="8" w:name="_Toc6483"/>
      <w:r>
        <w:t>建设公司的文化</w:t>
      </w:r>
      <w:bookmarkEnd w:id="8"/>
    </w:p>
    <w:p w14:paraId="33A6E6C1">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运维服务业务目标和市场定位不同，培训投入的侧重点也大不相同。</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的有效利用可以帮助运维服务人员学到处理问题的技巧和方法，减少犯同样错误的可能。</w:t>
      </w:r>
    </w:p>
    <w:p w14:paraId="7CA90C1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同时通过知识的互动分享，可以让员工有更多的成就感；员工可以发布个人工作经验和总结，促使员工的互动和相互认同获得成长性。</w:t>
      </w:r>
    </w:p>
    <w:p w14:paraId="4904458B">
      <w:pPr>
        <w:pStyle w:val="28"/>
        <w:bidi w:val="0"/>
      </w:pPr>
      <w:bookmarkStart w:id="9" w:name="_Toc28908"/>
      <w:r>
        <w:t>有效提升工作效率</w:t>
      </w:r>
      <w:bookmarkEnd w:id="9"/>
    </w:p>
    <w:p w14:paraId="2B8F74E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对服务台人员或者一线人员来说，建设</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的目的就是实用。当需要知识时，能够快速地查找，高效地应用。服务台人员接到客户的报障后，</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会自动分析提交事件的关键词，查找统计，分析最贴近的方案并推荐给支持人员，大大节省支持人员的时间，通过内置的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，提升故障解决效率。另外，将问题的解决方案，发布成已知错误作为知识，就可以随时供事件处理查找和参考。</w:t>
      </w:r>
    </w:p>
    <w:p w14:paraId="2120E3FB">
      <w:pPr>
        <w:pStyle w:val="28"/>
        <w:bidi w:val="0"/>
        <w:rPr>
          <w:rFonts w:hint="default"/>
          <w:lang w:val="en-US" w:eastAsia="zh-CN"/>
        </w:rPr>
      </w:pPr>
      <w:bookmarkStart w:id="10" w:name="_Toc24247"/>
      <w:r>
        <w:rPr>
          <w:rFonts w:hint="eastAsia"/>
          <w:lang w:val="en-US" w:eastAsia="zh-CN"/>
        </w:rPr>
        <w:t>指标完成情况</w:t>
      </w:r>
      <w:bookmarkEnd w:id="10"/>
    </w:p>
    <w:p w14:paraId="5C45234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经统计，2025年第</w:t>
      </w:r>
      <w:r>
        <w:rPr>
          <w:rFonts w:hint="eastAsia" w:ascii="宋体" w:hAnsi="宋体" w:cs="宋体"/>
          <w:spacing w:val="-3"/>
          <w:sz w:val="24"/>
          <w:szCs w:val="24"/>
          <w:lang w:val="en-US" w:eastAsia="zh-CN"/>
        </w:rPr>
        <w:t>二</w:t>
      </w:r>
      <w:r>
        <w:rPr>
          <w:rFonts w:hint="eastAsia" w:ascii="宋体" w:hAnsi="宋体" w:eastAsia="宋体" w:cs="宋体"/>
          <w:spacing w:val="-3"/>
          <w:sz w:val="24"/>
          <w:szCs w:val="24"/>
          <w:lang w:val="en-US" w:eastAsia="zh-CN"/>
        </w:rPr>
        <w:t>、</w:t>
      </w:r>
      <w:r>
        <w:rPr>
          <w:rFonts w:hint="eastAsia" w:ascii="宋体" w:hAnsi="宋体" w:cs="宋体"/>
          <w:spacing w:val="-3"/>
          <w:sz w:val="24"/>
          <w:szCs w:val="24"/>
          <w:lang w:val="en-US" w:eastAsia="zh-CN"/>
        </w:rPr>
        <w:t>三</w:t>
      </w:r>
      <w:r>
        <w:rPr>
          <w:rFonts w:hint="eastAsia" w:ascii="宋体" w:hAnsi="宋体" w:eastAsia="宋体" w:cs="宋体"/>
          <w:spacing w:val="-3"/>
          <w:sz w:val="24"/>
          <w:szCs w:val="24"/>
          <w:lang w:val="en-US" w:eastAsia="zh-CN"/>
        </w:rPr>
        <w:t>和</w:t>
      </w:r>
      <w:r>
        <w:rPr>
          <w:rFonts w:hint="eastAsia" w:ascii="宋体" w:hAnsi="宋体" w:cs="宋体"/>
          <w:spacing w:val="-3"/>
          <w:sz w:val="24"/>
          <w:szCs w:val="24"/>
          <w:lang w:val="en-US" w:eastAsia="zh-CN"/>
        </w:rPr>
        <w:t>四</w:t>
      </w:r>
      <w:r>
        <w:rPr>
          <w:rFonts w:hint="eastAsia" w:ascii="宋体" w:hAnsi="宋体" w:eastAsia="宋体" w:cs="宋体"/>
          <w:spacing w:val="-3"/>
          <w:sz w:val="24"/>
          <w:szCs w:val="24"/>
          <w:lang w:val="en-US" w:eastAsia="zh-CN"/>
        </w:rPr>
        <w:t>季度知识录入条数分别为56、48条、40条，</w:t>
      </w:r>
      <w:bookmarkStart w:id="11" w:name="_GoBack"/>
      <w:bookmarkEnd w:id="11"/>
      <w:r>
        <w:rPr>
          <w:rFonts w:hint="eastAsia" w:ascii="宋体" w:hAnsi="宋体" w:eastAsia="宋体" w:cs="宋体"/>
          <w:spacing w:val="-3"/>
          <w:sz w:val="24"/>
          <w:szCs w:val="24"/>
          <w:lang w:val="en-US" w:eastAsia="zh-CN"/>
        </w:rPr>
        <w:t>均满足新增知识条目≥40条的指标要求。</w:t>
      </w:r>
    </w:p>
    <w:sectPr>
      <w:headerReference r:id="rId9" w:type="default"/>
      <w:footerReference r:id="rId10" w:type="default"/>
      <w:pgSz w:w="11906" w:h="16839"/>
      <w:pgMar w:top="1260" w:right="948" w:bottom="1299" w:left="966" w:header="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E37C5">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70864">
    <w:pPr>
      <w:spacing w:line="178" w:lineRule="auto"/>
      <w:ind w:left="4289"/>
      <w:rPr>
        <w:rFonts w:ascii="Cambria" w:hAnsi="Cambria" w:eastAsia="Cambria" w:cs="Cambria"/>
        <w:sz w:val="18"/>
        <w:szCs w:val="18"/>
      </w:rPr>
    </w:pPr>
    <w:r>
      <w:rPr>
        <w:rFonts w:ascii="Cambria" w:hAnsi="Cambria" w:eastAsia="Cambria" w:cs="Cambria"/>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582C4">
    <w:pPr>
      <w:spacing w:line="176" w:lineRule="auto"/>
      <w:ind w:left="4947"/>
      <w:rPr>
        <w:rFonts w:ascii="Cambria" w:hAnsi="Cambria" w:eastAsia="Cambria" w:cs="Cambria"/>
        <w:sz w:val="18"/>
        <w:szCs w:val="18"/>
      </w:rPr>
    </w:pPr>
    <w:r>
      <w:rPr>
        <w:rFonts w:ascii="Cambria" w:hAnsi="Cambria" w:eastAsia="Cambria" w:cs="Cambria"/>
        <w:sz w:val="18"/>
        <w:szCs w:val="18"/>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419E0">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A8E66">
    <w:pPr>
      <w:pStyle w:val="1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19C32">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300221"/>
    <w:rsid w:val="0EFB1CB9"/>
    <w:rsid w:val="0F87169C"/>
    <w:rsid w:val="241E5CD3"/>
    <w:rsid w:val="31BC4D7D"/>
    <w:rsid w:val="33655FF4"/>
    <w:rsid w:val="3AE467CC"/>
    <w:rsid w:val="3FAA26B9"/>
    <w:rsid w:val="5A1035F7"/>
    <w:rsid w:val="600B4FBD"/>
    <w:rsid w:val="60BD0047"/>
    <w:rsid w:val="65136487"/>
    <w:rsid w:val="66815672"/>
    <w:rsid w:val="79BF2DAB"/>
    <w:rsid w:val="7F2A28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1892</Words>
  <Characters>1944</Characters>
  <Lines>0</Lines>
  <Paragraphs>0</Paragraphs>
  <TotalTime>0</TotalTime>
  <ScaleCrop>false</ScaleCrop>
  <LinksUpToDate>false</LinksUpToDate>
  <CharactersWithSpaces>1987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2025-08-15T15:14:00Z</dcterms:created>
  <dc:creator>健 张</dc:creator>
  <cp:lastModifiedBy>郝宇</cp:lastModifiedBy>
  <dcterms:modified xsi:type="dcterms:W3CDTF">2026-01-30T17:50:18Z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2025-08-21T23:13:37Z</vt:filetime>
  </property>
  <property fmtid="{D5CDD505-2E9C-101B-9397-08002B2CF9AE}" pid="3" name="CRO">
    <vt:lpwstr>wqlLaW5nc29mdCBQREYgdG8gV1BTIDExNQ</vt:lpwstr>
  </property>
  <property fmtid="{D5CDD505-2E9C-101B-9397-08002B2CF9AE}" pid="4" name="ICV">
    <vt:lpwstr>A1008F9BB68447CABCE7A15A42A94F38_12</vt:lpwstr>
  </property>
  <property fmtid="{D5CDD505-2E9C-101B-9397-08002B2CF9AE}" pid="5" name="KSOProductBuildVer">
    <vt:lpwstr>2052-12.1.0.24657</vt:lpwstr>
  </property>
  <property fmtid="{D5CDD505-2E9C-101B-9397-08002B2CF9AE}" pid="6" name="KSOTemplateDocerSaveRecord">
    <vt:lpwstr>eyJoZGlkIjoiZWI4NmUzMGY2ODA3MDc4ZTFlMjZjZTAyMjM0NmVmODgiLCJ1c2VySWQiOiIxMDc1MzgyOSJ9</vt:lpwstr>
  </property>
</Properties>
</file>