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59505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</w:p>
    <w:p w14:paraId="316630AB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0" w:name="_Toc17869"/>
      <w:r>
        <w:rPr>
          <w:rFonts w:hint="eastAsia"/>
          <w:lang w:val="en-US" w:eastAsia="zh-CN"/>
        </w:rPr>
        <w:t>应急管理制度</w:t>
      </w:r>
      <w:bookmarkEnd w:id="0"/>
    </w:p>
    <w:p w14:paraId="4F1FBE33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" w:name="_Toc31801"/>
      <w:r>
        <w:t>甘肃国邦信息科技有限公司</w:t>
      </w:r>
      <w:bookmarkEnd w:id="1"/>
    </w:p>
    <w:p w14:paraId="53F117CA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275"/>
        <w:ind w:left="32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09B3ECE7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0F387138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19356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358B8632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16" w:lineRule="exact"/>
      </w:pPr>
    </w:p>
    <w:tbl>
      <w:tblPr>
        <w:tblStyle w:val="28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22C12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06021AA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30C462D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应急管理制度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YJGLZD</w:t>
            </w:r>
            <w:r>
              <w:rPr>
                <w:spacing w:val="-1"/>
              </w:rPr>
              <w:t>）</w:t>
            </w:r>
          </w:p>
        </w:tc>
      </w:tr>
      <w:tr w14:paraId="349C6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02B4E063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5D61E3FE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55BFA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01DF1FB7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3B61584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4640245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1D715EAE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16B8E2DB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5B0D6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8B6F36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13F2042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3DB6248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2A542D53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077DBB49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1A5D8B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5332931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316F928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/>
              <w:ind w:left="361"/>
            </w:pPr>
          </w:p>
        </w:tc>
        <w:tc>
          <w:tcPr>
            <w:tcW w:w="2302" w:type="dxa"/>
          </w:tcPr>
          <w:p w14:paraId="51D067C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1156E783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4F7B052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672"/>
            </w:pPr>
          </w:p>
        </w:tc>
      </w:tr>
      <w:tr w14:paraId="58CDA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6D0A8D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3F65BE0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/>
              <w:ind w:left="361"/>
            </w:pPr>
          </w:p>
        </w:tc>
        <w:tc>
          <w:tcPr>
            <w:tcW w:w="2302" w:type="dxa"/>
          </w:tcPr>
          <w:p w14:paraId="56945D6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1CD4A71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5E98177D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672"/>
            </w:pPr>
          </w:p>
        </w:tc>
      </w:tr>
      <w:tr w14:paraId="719EE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A827B6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52837AD1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/>
              <w:ind w:left="361"/>
            </w:pPr>
          </w:p>
        </w:tc>
        <w:tc>
          <w:tcPr>
            <w:tcW w:w="2302" w:type="dxa"/>
          </w:tcPr>
          <w:p w14:paraId="2ABBB90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0EE2803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4F63DB30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672"/>
            </w:pPr>
          </w:p>
        </w:tc>
      </w:tr>
      <w:tr w14:paraId="2009D6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2965AE3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5180A0F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3434ABF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54D9FE5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85093B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</w:tbl>
    <w:p w14:paraId="59F30CAC">
      <w:pPr>
        <w:pStyle w:val="13"/>
        <w:keepNext w:val="0"/>
        <w:keepLines w:val="0"/>
        <w:pageBreakBefore w:val="0"/>
        <w:widowControl w:val="0"/>
        <w:wordWrap/>
        <w:overflowPunct/>
        <w:topLinePunct w:val="0"/>
        <w:bidi w:val="0"/>
      </w:pPr>
    </w:p>
    <w:p w14:paraId="5413F985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4200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kern w:val="2"/>
          <w:sz w:val="24"/>
          <w:szCs w:val="24"/>
          <w:lang w:val="en-US" w:eastAsia="zh-CN" w:bidi="ar-SA"/>
        </w:rPr>
      </w:sdtEndPr>
      <w:sdtContent>
        <w:p w14:paraId="4E7E7D97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4EDD12B0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_Toc17869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应急管理制度</w:t>
          </w:r>
          <w:r>
            <w:tab/>
          </w:r>
          <w:r>
            <w:fldChar w:fldCharType="begin"/>
          </w:r>
          <w:r>
            <w:instrText xml:space="preserve"> PAGEREF _Toc17869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645857D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_Toc31801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_Toc31801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226431F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_Toc19356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_Toc19356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8DAD951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_Toc18228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_Toc18228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55121F8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_Toc4629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_Toc4629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2E6C693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_Toc18340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_Toc18340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A98B6BA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_Toc14032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制定依据</w:t>
          </w:r>
          <w:r>
            <w:tab/>
          </w:r>
          <w:r>
            <w:fldChar w:fldCharType="begin"/>
          </w:r>
          <w:r>
            <w:instrText xml:space="preserve"> PAGEREF _Toc14032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06A10D7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_Toc621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术语与定义</w:t>
          </w:r>
          <w:r>
            <w:tab/>
          </w:r>
          <w:r>
            <w:fldChar w:fldCharType="begin"/>
          </w:r>
          <w:r>
            <w:instrText xml:space="preserve"> PAGEREF _Toc621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A4DB8AD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_Toc14885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应急管理组织与职责</w:t>
          </w:r>
          <w:r>
            <w:tab/>
          </w:r>
          <w:r>
            <w:fldChar w:fldCharType="begin"/>
          </w:r>
          <w:r>
            <w:instrText xml:space="preserve"> PAGEREF _Toc14885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D8B3CF1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_Toc20869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应急管理领导小组</w:t>
          </w:r>
          <w:r>
            <w:tab/>
          </w:r>
          <w:r>
            <w:fldChar w:fldCharType="begin"/>
          </w:r>
          <w:r>
            <w:instrText xml:space="preserve"> PAGEREF _Toc20869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4CF1D2E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_Toc25920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应急执行小组</w:t>
          </w:r>
          <w:r>
            <w:tab/>
          </w:r>
          <w:r>
            <w:fldChar w:fldCharType="begin"/>
          </w:r>
          <w:r>
            <w:instrText xml:space="preserve"> PAGEREF _Toc25920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4DBF4D5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_Toc7212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支持保障小组</w:t>
          </w:r>
          <w:r>
            <w:tab/>
          </w:r>
          <w:r>
            <w:fldChar w:fldCharType="begin"/>
          </w:r>
          <w:r>
            <w:instrText xml:space="preserve"> PAGEREF _Toc7212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23298D9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_Toc25093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风险评估管理机制</w:t>
          </w:r>
          <w:r>
            <w:tab/>
          </w:r>
          <w:r>
            <w:fldChar w:fldCharType="begin"/>
          </w:r>
          <w:r>
            <w:instrText xml:space="preserve"> PAGEREF _Toc25093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0AEFD83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_Toc19920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风险评估流程</w:t>
          </w:r>
          <w:r>
            <w:tab/>
          </w:r>
          <w:r>
            <w:fldChar w:fldCharType="begin"/>
          </w:r>
          <w:r>
            <w:instrText xml:space="preserve"> PAGEREF _Toc19920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6C7FAA0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_Toc6872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资产价值评估</w:t>
          </w:r>
          <w:r>
            <w:tab/>
          </w:r>
          <w:r>
            <w:fldChar w:fldCharType="begin"/>
          </w:r>
          <w:r>
            <w:instrText xml:space="preserve"> PAGEREF _Toc6872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743D48B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_Toc26931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资产分类</w:t>
          </w:r>
          <w:r>
            <w:tab/>
          </w:r>
          <w:r>
            <w:fldChar w:fldCharType="begin"/>
          </w:r>
          <w:r>
            <w:instrText xml:space="preserve"> PAGEREF _Toc26931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B05204F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_Toc27068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资产赋值表</w:t>
          </w:r>
          <w:r>
            <w:tab/>
          </w:r>
          <w:r>
            <w:fldChar w:fldCharType="begin"/>
          </w:r>
          <w:r>
            <w:instrText xml:space="preserve"> PAGEREF _Toc27068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0B128D5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_Toc16772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威胁评估模型</w:t>
          </w:r>
          <w:r>
            <w:tab/>
          </w:r>
          <w:r>
            <w:fldChar w:fldCharType="begin"/>
          </w:r>
          <w:r>
            <w:instrText xml:space="preserve"> PAGEREF _Toc16772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8409796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_Toc6512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威胁来源分类</w:t>
          </w:r>
          <w:r>
            <w:tab/>
          </w:r>
          <w:r>
            <w:fldChar w:fldCharType="begin"/>
          </w:r>
          <w:r>
            <w:instrText xml:space="preserve"> PAGEREF _Toc6512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1E106B0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_Toc29072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威胁频率等级</w:t>
          </w:r>
          <w:r>
            <w:tab/>
          </w:r>
          <w:r>
            <w:fldChar w:fldCharType="begin"/>
          </w:r>
          <w:r>
            <w:instrText xml:space="preserve"> PAGEREF _Toc29072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AD2E97C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_Toc4210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风险矩阵与等级划分</w:t>
          </w:r>
          <w:r>
            <w:tab/>
          </w:r>
          <w:r>
            <w:fldChar w:fldCharType="begin"/>
          </w:r>
          <w:r>
            <w:instrText xml:space="preserve"> PAGEREF _Toc4210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74AEC22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_Toc10554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风险评估周期</w:t>
          </w:r>
          <w:r>
            <w:tab/>
          </w:r>
          <w:r>
            <w:fldChar w:fldCharType="begin"/>
          </w:r>
          <w:r>
            <w:instrText xml:space="preserve"> PAGEREF _Toc10554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D591B51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_Toc32010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应急事件与应急预案体系</w:t>
          </w:r>
          <w:r>
            <w:tab/>
          </w:r>
          <w:r>
            <w:fldChar w:fldCharType="begin"/>
          </w:r>
          <w:r>
            <w:instrText xml:space="preserve"> PAGEREF _Toc32010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CC15283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_Toc27600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事件分级标准</w:t>
          </w:r>
          <w:r>
            <w:tab/>
          </w:r>
          <w:r>
            <w:fldChar w:fldCharType="begin"/>
          </w:r>
          <w:r>
            <w:instrText xml:space="preserve"> PAGEREF _Toc27600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DCD502C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_Toc21202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事件分类示例</w:t>
          </w:r>
          <w:r>
            <w:tab/>
          </w:r>
          <w:r>
            <w:fldChar w:fldCharType="begin"/>
          </w:r>
          <w:r>
            <w:instrText xml:space="preserve"> PAGEREF _Toc21202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B555DC3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_Toc28158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应急预案体系</w:t>
          </w:r>
          <w:r>
            <w:tab/>
          </w:r>
          <w:r>
            <w:fldChar w:fldCharType="begin"/>
          </w:r>
          <w:r>
            <w:instrText xml:space="preserve"> PAGEREF _Toc28158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1B40DCA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_Toc11604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5.3.1. </w:t>
          </w:r>
          <w:r>
            <w:rPr>
              <w:rFonts w:hint="eastAsia"/>
              <w:lang w:val="en-US" w:eastAsia="zh-CN"/>
            </w:rPr>
            <w:t>应急预案启动</w:t>
          </w:r>
          <w:r>
            <w:tab/>
          </w:r>
          <w:r>
            <w:fldChar w:fldCharType="begin"/>
          </w:r>
          <w:r>
            <w:instrText xml:space="preserve"> PAGEREF _Toc11604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74BC08D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_Toc30832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5.3.2. </w:t>
          </w:r>
          <w:r>
            <w:rPr>
              <w:rFonts w:hint="eastAsia"/>
              <w:lang w:val="en-US" w:eastAsia="zh-CN"/>
            </w:rPr>
            <w:t>应急指挥与授权</w:t>
          </w:r>
          <w:r>
            <w:tab/>
          </w:r>
          <w:r>
            <w:fldChar w:fldCharType="begin"/>
          </w:r>
          <w:r>
            <w:instrText xml:space="preserve"> PAGEREF _Toc30832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E2F0AF0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_Toc2226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5.3.3. </w:t>
          </w:r>
          <w:r>
            <w:rPr>
              <w:rFonts w:hint="eastAsia"/>
              <w:lang w:val="en-US" w:eastAsia="zh-CN"/>
            </w:rPr>
            <w:t>核心场景处置指引</w:t>
          </w:r>
          <w:r>
            <w:tab/>
          </w:r>
          <w:r>
            <w:fldChar w:fldCharType="begin"/>
          </w:r>
          <w:r>
            <w:instrText xml:space="preserve"> PAGEREF _Toc2226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93E643A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_Toc7261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应急响应流程</w:t>
          </w:r>
          <w:r>
            <w:tab/>
          </w:r>
          <w:r>
            <w:fldChar w:fldCharType="begin"/>
          </w:r>
          <w:r>
            <w:instrText xml:space="preserve"> PAGEREF _Toc7261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23257BA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_Toc2165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总体响应流程</w:t>
          </w:r>
          <w:r>
            <w:tab/>
          </w:r>
          <w:r>
            <w:fldChar w:fldCharType="begin"/>
          </w:r>
          <w:r>
            <w:instrText xml:space="preserve"> PAGEREF _Toc2165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7C32192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_Toc12692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各阶段详细要求</w:t>
          </w:r>
          <w:r>
            <w:tab/>
          </w:r>
          <w:r>
            <w:fldChar w:fldCharType="begin"/>
          </w:r>
          <w:r>
            <w:instrText xml:space="preserve"> PAGEREF _Toc12692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DC6C07F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_Toc1526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6.2.1. 监测与报告阶段</w:t>
          </w:r>
          <w:r>
            <w:tab/>
          </w:r>
          <w:r>
            <w:fldChar w:fldCharType="begin"/>
          </w:r>
          <w:r>
            <w:instrText xml:space="preserve"> PAGEREF _Toc1526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1846DCB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_Toc4543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6.2.2. 分析与定级阶段</w:t>
          </w:r>
          <w:r>
            <w:tab/>
          </w:r>
          <w:r>
            <w:fldChar w:fldCharType="begin"/>
          </w:r>
          <w:r>
            <w:instrText xml:space="preserve"> PAGEREF _Toc4543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365352B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_Toc11013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6.2.3. 应急处置阶段</w:t>
          </w:r>
          <w:r>
            <w:tab/>
          </w:r>
          <w:r>
            <w:fldChar w:fldCharType="begin"/>
          </w:r>
          <w:r>
            <w:instrText xml:space="preserve"> PAGEREF _Toc11013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A80B43A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_Toc25339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6.2.4. 恢复与验证阶段</w:t>
          </w:r>
          <w:r>
            <w:tab/>
          </w:r>
          <w:r>
            <w:fldChar w:fldCharType="begin"/>
          </w:r>
          <w:r>
            <w:instrText xml:space="preserve"> PAGEREF _Toc25339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C9C9589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_Toc17073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6.2.5. </w:t>
          </w:r>
          <w:r>
            <w:rPr>
              <w:rFonts w:hint="eastAsia"/>
              <w:lang w:val="en-US" w:eastAsia="zh-CN"/>
            </w:rPr>
            <w:t>总结与报告阶段</w:t>
          </w:r>
          <w:r>
            <w:tab/>
          </w:r>
          <w:r>
            <w:fldChar w:fldCharType="begin"/>
          </w:r>
          <w:r>
            <w:instrText xml:space="preserve"> PAGEREF _Toc17073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ACFCE52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_Toc5112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6.2.6. 总结改进阶段</w:t>
          </w:r>
          <w:r>
            <w:tab/>
          </w:r>
          <w:r>
            <w:fldChar w:fldCharType="begin"/>
          </w:r>
          <w:r>
            <w:instrText xml:space="preserve"> PAGEREF _Toc5112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A5B4FF1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_Toc31069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应急沟通管理机制</w:t>
          </w:r>
          <w:r>
            <w:tab/>
          </w:r>
          <w:r>
            <w:fldChar w:fldCharType="begin"/>
          </w:r>
          <w:r>
            <w:instrText xml:space="preserve"> PAGEREF _Toc31069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A81447C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_Toc32307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沟通原则</w:t>
          </w:r>
          <w:r>
            <w:tab/>
          </w:r>
          <w:r>
            <w:fldChar w:fldCharType="begin"/>
          </w:r>
          <w:r>
            <w:instrText xml:space="preserve"> PAGEREF _Toc32307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A97845B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_Toc20110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信息发布管理</w:t>
          </w:r>
          <w:r>
            <w:tab/>
          </w:r>
          <w:r>
            <w:fldChar w:fldCharType="begin"/>
          </w:r>
          <w:r>
            <w:instrText xml:space="preserve"> PAGEREF _Toc20110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5D9F4B6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_Toc1817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沟通障碍处理</w:t>
          </w:r>
          <w:r>
            <w:tab/>
          </w:r>
          <w:r>
            <w:fldChar w:fldCharType="begin"/>
          </w:r>
          <w:r>
            <w:instrText xml:space="preserve"> PAGEREF _Toc1817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5B7A3CF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_Toc19986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应急保障与资源管理</w:t>
          </w:r>
          <w:r>
            <w:tab/>
          </w:r>
          <w:r>
            <w:fldChar w:fldCharType="begin"/>
          </w:r>
          <w:r>
            <w:instrText xml:space="preserve"> PAGEREF _Toc19986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D2212D2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_Toc7945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8.1. 人力资源保障</w:t>
          </w:r>
          <w:r>
            <w:tab/>
          </w:r>
          <w:r>
            <w:fldChar w:fldCharType="begin"/>
          </w:r>
          <w:r>
            <w:instrText xml:space="preserve"> PAGEREF _Toc7945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99D9D19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_Toc4975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8.2. 技术资源保障</w:t>
          </w:r>
          <w:r>
            <w:tab/>
          </w:r>
          <w:r>
            <w:fldChar w:fldCharType="begin"/>
          </w:r>
          <w:r>
            <w:instrText xml:space="preserve"> PAGEREF _Toc4975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CA175D6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_Toc13708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8.3. 物资与后勤保障</w:t>
          </w:r>
          <w:r>
            <w:tab/>
          </w:r>
          <w:r>
            <w:fldChar w:fldCharType="begin"/>
          </w:r>
          <w:r>
            <w:instrText xml:space="preserve"> PAGEREF _Toc13708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57BF443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_Toc29116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应急演练与持续改进</w:t>
          </w:r>
          <w:r>
            <w:tab/>
          </w:r>
          <w:r>
            <w:fldChar w:fldCharType="begin"/>
          </w:r>
          <w:r>
            <w:instrText xml:space="preserve"> PAGEREF _Toc29116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B8B6047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_Toc13380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9.1. 演练计划</w:t>
          </w:r>
          <w:r>
            <w:tab/>
          </w:r>
          <w:r>
            <w:fldChar w:fldCharType="begin"/>
          </w:r>
          <w:r>
            <w:instrText xml:space="preserve"> PAGEREF _Toc13380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8814E2C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_Toc11091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9.2. 演练流程</w:t>
          </w:r>
          <w:r>
            <w:tab/>
          </w:r>
          <w:r>
            <w:fldChar w:fldCharType="begin"/>
          </w:r>
          <w:r>
            <w:instrText xml:space="preserve"> PAGEREF _Toc11091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87BA42B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_Toc24160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9.3. 持续改进机制</w:t>
          </w:r>
          <w:r>
            <w:tab/>
          </w:r>
          <w:r>
            <w:fldChar w:fldCharType="begin"/>
          </w:r>
          <w:r>
            <w:instrText xml:space="preserve"> PAGEREF _Toc24160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EA033EB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_Toc16380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_Toc16380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411F4DA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_Toc8339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附则与附件</w:t>
          </w:r>
          <w:r>
            <w:tab/>
          </w:r>
          <w:r>
            <w:fldChar w:fldCharType="begin"/>
          </w:r>
          <w:r>
            <w:instrText xml:space="preserve"> PAGEREF _Toc8339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30D428E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_Toc19837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10.1. 制度生效与修订</w:t>
          </w:r>
          <w:r>
            <w:tab/>
          </w:r>
          <w:r>
            <w:fldChar w:fldCharType="begin"/>
          </w:r>
          <w:r>
            <w:instrText xml:space="preserve"> PAGEREF _Toc19837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FF359DA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_Toc32225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10.2. 附件清单</w:t>
          </w:r>
          <w:r>
            <w:tab/>
          </w:r>
          <w:r>
            <w:fldChar w:fldCharType="begin"/>
          </w:r>
          <w:r>
            <w:instrText xml:space="preserve"> PAGEREF _Toc32225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F3D5447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_Toc7613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10.3. 相关文件</w:t>
          </w:r>
          <w:r>
            <w:tab/>
          </w:r>
          <w:r>
            <w:fldChar w:fldCharType="begin"/>
          </w:r>
          <w:r>
            <w:instrText xml:space="preserve"> PAGEREF _Toc7613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473B7C7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hint="eastAsia" w:ascii="Microsoft JhengHei" w:hAnsi="Microsoft JhengHei" w:eastAsia="Microsoft JhengHei" w:cs="Microsoft JhengHe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71CF57E6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 w:ascii="Microsoft JhengHei" w:hAnsi="Microsoft JhengHei" w:eastAsia="Microsoft JhengHei" w:cs="Microsoft JhengHei"/>
          <w:kern w:val="2"/>
          <w:sz w:val="24"/>
          <w:szCs w:val="24"/>
          <w:lang w:val="en-US" w:eastAsia="zh-CN" w:bidi="ar-SA"/>
        </w:rPr>
        <w:sectPr>
          <w:pgSz w:w="11906" w:h="16839"/>
          <w:pgMar w:top="1431" w:right="1236" w:bottom="708" w:left="1588" w:header="0" w:footer="0" w:gutter="0"/>
          <w:cols w:space="720" w:num="1"/>
        </w:sectPr>
      </w:pPr>
    </w:p>
    <w:p w14:paraId="65494858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3" w:name="_Toc18228"/>
      <w:r>
        <w:rPr>
          <w:rFonts w:hint="default"/>
          <w:lang w:val="en-US" w:eastAsia="zh-CN"/>
        </w:rPr>
        <w:t>总则</w:t>
      </w:r>
      <w:bookmarkEnd w:id="3"/>
    </w:p>
    <w:p w14:paraId="23236E54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4" w:name="_Toc4629"/>
      <w:r>
        <w:rPr>
          <w:rFonts w:hint="default"/>
          <w:lang w:val="en-US" w:eastAsia="zh-CN"/>
        </w:rPr>
        <w:t>目的</w:t>
      </w:r>
      <w:bookmarkEnd w:id="4"/>
    </w:p>
    <w:p w14:paraId="3AE1C3FD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为建立健全公司应急响应与风险管理体系，规范应急事件的预防、准备、响应、恢复和改进全过程管理，提升信息系统运维服务的可靠性与连续性，最大限度降低应急事件对客户业务的影响，特制定本制度。</w:t>
      </w:r>
    </w:p>
    <w:p w14:paraId="16636AD3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5" w:name="_Toc18340"/>
      <w:r>
        <w:rPr>
          <w:rFonts w:hint="default"/>
          <w:lang w:val="en-US" w:eastAsia="zh-CN"/>
        </w:rPr>
        <w:t>适用范围</w:t>
      </w:r>
      <w:bookmarkEnd w:id="5"/>
    </w:p>
    <w:p w14:paraId="46921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本制度适用于公司所有</w:t>
      </w:r>
      <w:r>
        <w:rPr>
          <w:rFonts w:hint="eastAsia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运维服务项目</w:t>
      </w:r>
    </w:p>
    <w:p w14:paraId="2DC3FF32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6" w:name="_Toc14032"/>
      <w:r>
        <w:rPr>
          <w:rFonts w:hint="default"/>
          <w:lang w:val="en-US" w:eastAsia="zh-CN"/>
        </w:rPr>
        <w:t>制定依据</w:t>
      </w:r>
      <w:bookmarkEnd w:id="6"/>
    </w:p>
    <w:p w14:paraId="5DAD286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《信息技术服务运行维护服务能力成熟度模型》（T/CESA 1299-2023）</w:t>
      </w:r>
    </w:p>
    <w:p w14:paraId="2DC8CD0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《信息技术服务运行维护第1部分：通用要求》（GB/T 28827.1-2022）</w:t>
      </w:r>
    </w:p>
    <w:p w14:paraId="4A27E0A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公司质量与安全管理体系文件</w:t>
      </w:r>
    </w:p>
    <w:p w14:paraId="46000085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7" w:name="_Toc621"/>
      <w:r>
        <w:rPr>
          <w:rFonts w:hint="default"/>
          <w:lang w:val="en-US" w:eastAsia="zh-CN"/>
        </w:rPr>
        <w:t>术语与定义</w:t>
      </w:r>
      <w:bookmarkEnd w:id="7"/>
    </w:p>
    <w:tbl>
      <w:tblPr>
        <w:tblStyle w:val="21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6"/>
        <w:gridCol w:w="7718"/>
      </w:tblGrid>
      <w:tr w14:paraId="764E5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D38A3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60E0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定义</w:t>
            </w:r>
          </w:p>
        </w:tc>
      </w:tr>
      <w:tr w14:paraId="5C78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A68D6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E0949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导致或即将导致运维服务对象运行中断、运行质量降低，以及需要实施重点时段保障的事件。</w:t>
            </w:r>
          </w:p>
        </w:tc>
      </w:tr>
      <w:tr w14:paraId="0FBBD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A60D7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应急响应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31A9E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组织为预防、监控、处置和管理应急事件所采取的措施和活动。</w:t>
            </w:r>
          </w:p>
        </w:tc>
      </w:tr>
      <w:tr w14:paraId="0AEB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1005D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B4BEA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对信息系统及其相关环境进行资产识别、威胁分析、脆弱性评估，以确定风险等级的过程。</w:t>
            </w:r>
          </w:p>
        </w:tc>
      </w:tr>
      <w:tr w14:paraId="7884C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628F2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残余风险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1A251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在采取安全控制措施后仍无法完全消除的风险。</w:t>
            </w:r>
          </w:p>
        </w:tc>
      </w:tr>
      <w:tr w14:paraId="26A76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C2959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重点时段保障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3E76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在特定时间段内提升服务级别，确保重要活动或业务连续运行的措施。</w:t>
            </w:r>
          </w:p>
        </w:tc>
      </w:tr>
      <w:tr w14:paraId="5BCE8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82474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应急管理小组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71FC3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由公司指定人员组成的负责应急响应指挥与协调的组织。</w:t>
            </w:r>
          </w:p>
        </w:tc>
      </w:tr>
    </w:tbl>
    <w:p w14:paraId="2DD067C8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</w:p>
    <w:p w14:paraId="4D3AC2B1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8" w:name="_Toc14885"/>
      <w:r>
        <w:rPr>
          <w:rFonts w:hint="default"/>
          <w:lang w:val="en-US" w:eastAsia="zh-CN"/>
        </w:rPr>
        <w:t>应急管理组织与职责</w:t>
      </w:r>
      <w:bookmarkEnd w:id="8"/>
    </w:p>
    <w:p w14:paraId="6DC24E8A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9" w:name="_Toc20869"/>
      <w:r>
        <w:rPr>
          <w:rFonts w:hint="default"/>
          <w:lang w:val="en-US" w:eastAsia="zh-CN"/>
        </w:rPr>
        <w:t>应急管理领导小组</w:t>
      </w:r>
      <w:bookmarkEnd w:id="9"/>
    </w:p>
    <w:p w14:paraId="75697E42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组长：副总经理</w:t>
      </w:r>
    </w:p>
    <w:p w14:paraId="540BBDCF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副组长：质量部经理、</w:t>
      </w:r>
      <w:r>
        <w:rPr>
          <w:rFonts w:hint="eastAsia"/>
          <w:lang w:val="en-US" w:eastAsia="zh-CN"/>
        </w:rPr>
        <w:t>研发部经理</w:t>
      </w:r>
    </w:p>
    <w:p w14:paraId="08696055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主要职责：</w:t>
      </w:r>
    </w:p>
    <w:p w14:paraId="4FA2B184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审批应急预案与风险评估报告</w:t>
      </w:r>
    </w:p>
    <w:p w14:paraId="0FCD6E87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指挥重大应急事件处置</w:t>
      </w:r>
    </w:p>
    <w:p w14:paraId="5E717262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协调内外部资源支持</w:t>
      </w:r>
    </w:p>
    <w:p w14:paraId="6E86A190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评估应急响应效果</w:t>
      </w:r>
    </w:p>
    <w:p w14:paraId="476B1A92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0" w:name="_Toc25920"/>
      <w:r>
        <w:rPr>
          <w:rFonts w:hint="default"/>
          <w:lang w:val="en-US" w:eastAsia="zh-CN"/>
        </w:rPr>
        <w:t>应急执行小组</w:t>
      </w:r>
      <w:bookmarkEnd w:id="10"/>
    </w:p>
    <w:p w14:paraId="73F8F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组长：运维</w:t>
      </w:r>
      <w:r>
        <w:rPr>
          <w:rFonts w:hint="eastAsia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部经理</w:t>
      </w:r>
    </w:p>
    <w:p w14:paraId="09777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成员：</w:t>
      </w:r>
      <w:r>
        <w:rPr>
          <w:rFonts w:hint="eastAsia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运维部成员</w:t>
      </w:r>
    </w:p>
    <w:p w14:paraId="312CA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主要职责：</w:t>
      </w:r>
    </w:p>
    <w:p w14:paraId="2291767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执行应急预案</w:t>
      </w:r>
    </w:p>
    <w:p w14:paraId="31AB83E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开展事件分析与处置</w:t>
      </w:r>
    </w:p>
    <w:p w14:paraId="3C9CB15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负责现场指挥与技术恢复</w:t>
      </w:r>
    </w:p>
    <w:p w14:paraId="356AE86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编写事件报告</w:t>
      </w:r>
    </w:p>
    <w:p w14:paraId="75777061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1" w:name="_Toc7212"/>
      <w:r>
        <w:rPr>
          <w:rFonts w:hint="default"/>
          <w:lang w:val="en-US" w:eastAsia="zh-CN"/>
        </w:rPr>
        <w:t>支持保障小组</w:t>
      </w:r>
      <w:bookmarkEnd w:id="11"/>
    </w:p>
    <w:p w14:paraId="6818D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成员：</w:t>
      </w:r>
      <w:r>
        <w:rPr>
          <w:rFonts w:hint="eastAsia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采购部、人力部等运维相关部门</w:t>
      </w:r>
    </w:p>
    <w:p w14:paraId="01D4B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主要职责：</w:t>
      </w:r>
    </w:p>
    <w:p w14:paraId="075D029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提供物资、交通、法律等支持</w:t>
      </w:r>
    </w:p>
    <w:p w14:paraId="13A049A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负责对外沟通与媒体应对</w:t>
      </w:r>
    </w:p>
    <w:p w14:paraId="37C2C84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保障人员调配与后勤服务</w:t>
      </w:r>
    </w:p>
    <w:p w14:paraId="25F14586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2" w:name="_Toc25093"/>
      <w:r>
        <w:rPr>
          <w:rFonts w:hint="default"/>
          <w:lang w:val="en-US" w:eastAsia="zh-CN"/>
        </w:rPr>
        <w:t>风险评估管理机制</w:t>
      </w:r>
      <w:bookmarkEnd w:id="12"/>
    </w:p>
    <w:p w14:paraId="6F2E4E75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3" w:name="_Toc19920"/>
      <w:r>
        <w:rPr>
          <w:rFonts w:hint="default"/>
          <w:lang w:val="en-US" w:eastAsia="zh-CN"/>
        </w:rPr>
        <w:t>风险评估流程</w:t>
      </w:r>
      <w:bookmarkEnd w:id="13"/>
    </w:p>
    <w:p w14:paraId="47994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准备阶段：明确评估目标、范围、方法与团队</w:t>
      </w:r>
    </w:p>
    <w:p w14:paraId="2C155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资产识别：识别并分类信息系统资产，评估资产价值</w:t>
      </w:r>
    </w:p>
    <w:p w14:paraId="618C3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威胁识别：分析可能面临的威胁来源与频率</w:t>
      </w:r>
    </w:p>
    <w:p w14:paraId="75D88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脆弱性识别：识别技术与管理层面的弱点</w:t>
      </w:r>
    </w:p>
    <w:p w14:paraId="644B7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风险分析：计算风险值，划分风险等级</w:t>
      </w:r>
    </w:p>
    <w:p w14:paraId="092B0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风险处置：制定并实施风险控制措施</w:t>
      </w:r>
    </w:p>
    <w:p w14:paraId="412A0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残余风险评价：评估控制后的剩余风险</w:t>
      </w:r>
    </w:p>
    <w:p w14:paraId="5A8E7C8E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4" w:name="_Toc6872"/>
      <w:r>
        <w:rPr>
          <w:rFonts w:hint="default"/>
          <w:lang w:val="en-US" w:eastAsia="zh-CN"/>
        </w:rPr>
        <w:t>资产价值评估</w:t>
      </w:r>
      <w:bookmarkEnd w:id="14"/>
    </w:p>
    <w:p w14:paraId="0049094E">
      <w:pPr>
        <w:pStyle w:val="34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5" w:name="_Toc26931"/>
      <w:r>
        <w:rPr>
          <w:rFonts w:hint="default"/>
          <w:lang w:val="en-US" w:eastAsia="zh-CN"/>
        </w:rPr>
        <w:t>资产分类</w:t>
      </w:r>
      <w:bookmarkEnd w:id="15"/>
    </w:p>
    <w:tbl>
      <w:tblPr>
        <w:tblStyle w:val="21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7399"/>
      </w:tblGrid>
      <w:tr w14:paraId="566BD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773D2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7569A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示例</w:t>
            </w:r>
          </w:p>
        </w:tc>
      </w:tr>
      <w:tr w14:paraId="3BC33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3519C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9C083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数据库、配置文件、业务数据</w:t>
            </w:r>
          </w:p>
        </w:tc>
      </w:tr>
      <w:tr w14:paraId="6EB6B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D4270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A88AD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操作系统、应用系统、中间件</w:t>
            </w:r>
          </w:p>
        </w:tc>
      </w:tr>
      <w:tr w14:paraId="577BF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562AE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F3B7E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服务器、网络设备、存储设备</w:t>
            </w:r>
          </w:p>
        </w:tc>
      </w:tr>
      <w:tr w14:paraId="5DA5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DD6A5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1DC73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业务系统、网络服务、云服务</w:t>
            </w:r>
          </w:p>
        </w:tc>
      </w:tr>
      <w:tr w14:paraId="466DF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02AB7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88AD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关键技术人员、管理员</w:t>
            </w:r>
          </w:p>
        </w:tc>
      </w:tr>
      <w:tr w14:paraId="3006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45CFA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AEC76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方案文档、操作手册、合同</w:t>
            </w:r>
          </w:p>
        </w:tc>
      </w:tr>
    </w:tbl>
    <w:p w14:paraId="7E085889">
      <w:pPr>
        <w:pStyle w:val="34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6" w:name="_Toc27068"/>
      <w:r>
        <w:rPr>
          <w:rFonts w:hint="default"/>
          <w:lang w:val="en-US" w:eastAsia="zh-CN"/>
        </w:rPr>
        <w:t>资产赋值表</w:t>
      </w:r>
      <w:bookmarkEnd w:id="16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2184"/>
        <w:gridCol w:w="2364"/>
        <w:gridCol w:w="1698"/>
      </w:tblGrid>
      <w:tr w14:paraId="1D20E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8C08E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193BD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机密性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8159F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A134F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可用性</w:t>
            </w:r>
          </w:p>
        </w:tc>
      </w:tr>
      <w:tr w14:paraId="0DFF5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E0717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5（极高）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6F9FA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泄露会造成灾难性影响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1D07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破坏会导致业务完全中断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75C35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可用性要求≥99.9%</w:t>
            </w:r>
          </w:p>
        </w:tc>
      </w:tr>
      <w:tr w14:paraId="211E3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9DD20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4（高）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790A5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泄露会造成严重损害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3CD0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破坏会导致重大业务影响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ABCB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允许中断&lt;10分钟</w:t>
            </w:r>
          </w:p>
        </w:tc>
      </w:tr>
      <w:tr w14:paraId="309F0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AA2AA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3（中）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4B83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泄露会造成一般损害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191C7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破坏会造成可修复影响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72E45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允许中断&lt;30分钟</w:t>
            </w:r>
          </w:p>
        </w:tc>
      </w:tr>
      <w:tr w14:paraId="2A20F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25FCB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2（低）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5C6D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泄露影响轻微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27AC2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破坏影响较小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638CD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允许中断&lt;60分钟</w:t>
            </w:r>
          </w:p>
        </w:tc>
      </w:tr>
      <w:tr w14:paraId="19DE1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43488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1（很低）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E2A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可公开信息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EB62D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破坏可忽略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DD796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可用性要求低</w:t>
            </w:r>
          </w:p>
        </w:tc>
      </w:tr>
    </w:tbl>
    <w:p w14:paraId="7F40F85A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7" w:name="_Toc16772"/>
      <w:r>
        <w:rPr>
          <w:rFonts w:hint="default"/>
          <w:lang w:val="en-US" w:eastAsia="zh-CN"/>
        </w:rPr>
        <w:t>威胁评估模型</w:t>
      </w:r>
      <w:bookmarkEnd w:id="17"/>
    </w:p>
    <w:p w14:paraId="7496C300">
      <w:pPr>
        <w:pStyle w:val="34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8" w:name="_Toc6512"/>
      <w:r>
        <w:rPr>
          <w:rFonts w:hint="default"/>
          <w:lang w:val="en-US" w:eastAsia="zh-CN"/>
        </w:rPr>
        <w:t>威胁来源分类</w:t>
      </w:r>
      <w:bookmarkEnd w:id="18"/>
    </w:p>
    <w:p w14:paraId="599D7131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环境因素：断电、火灾、水灾、地震等</w:t>
      </w:r>
    </w:p>
    <w:p w14:paraId="744F4BE8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人为因素（恶意）：黑客攻击、内部破坏、数据窃取</w:t>
      </w:r>
    </w:p>
    <w:p w14:paraId="6B3FFB86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人为因素（非恶意）：操作失误、配置错误、维护不当</w:t>
      </w:r>
    </w:p>
    <w:p w14:paraId="4C9D7393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技术因素：硬件故障、软件缺陷、网络中断</w:t>
      </w:r>
    </w:p>
    <w:p w14:paraId="0D04035B">
      <w:pPr>
        <w:pStyle w:val="34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9" w:name="_Toc29072"/>
      <w:r>
        <w:rPr>
          <w:rFonts w:hint="default"/>
          <w:lang w:val="en-US" w:eastAsia="zh-CN"/>
        </w:rPr>
        <w:t>威胁频率等级</w:t>
      </w:r>
      <w:bookmarkEnd w:id="19"/>
    </w:p>
    <w:tbl>
      <w:tblPr>
        <w:tblStyle w:val="21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3528"/>
        <w:gridCol w:w="4889"/>
      </w:tblGrid>
      <w:tr w14:paraId="604A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4A02C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等级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776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发生频率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D0E0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描述</w:t>
            </w:r>
          </w:p>
        </w:tc>
      </w:tr>
      <w:tr w14:paraId="03E6F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8AC56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565B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≥1次/周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33E2B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频繁发生，几乎不可避免</w:t>
            </w:r>
          </w:p>
        </w:tc>
      </w:tr>
      <w:tr w14:paraId="73BC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C406E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F9A6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≥1次/月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BC5C3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较常发生，可能性高</w:t>
            </w:r>
          </w:p>
        </w:tc>
      </w:tr>
      <w:tr w14:paraId="291E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B1742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0D1C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&gt;1次/半年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3108B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可能发生，有先例</w:t>
            </w:r>
          </w:p>
        </w:tc>
      </w:tr>
      <w:tr w14:paraId="7335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90DFF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6395B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≤1次/年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3F30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较少发生，可能性低</w:t>
            </w:r>
          </w:p>
        </w:tc>
      </w:tr>
      <w:tr w14:paraId="6F06C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EE3C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D4A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几乎不发生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3FF39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罕见或例外情况</w:t>
            </w:r>
          </w:p>
        </w:tc>
      </w:tr>
    </w:tbl>
    <w:p w14:paraId="6094CDFF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0" w:name="_Toc4210"/>
      <w:r>
        <w:rPr>
          <w:rFonts w:hint="default"/>
          <w:lang w:val="en-US" w:eastAsia="zh-CN"/>
        </w:rPr>
        <w:t>风险矩阵与等级划分</w:t>
      </w:r>
      <w:bookmarkEnd w:id="20"/>
    </w:p>
    <w:p w14:paraId="5B44D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风险值 = 资产价值 × 威胁可能性 × 脆弱性严重程度</w:t>
      </w:r>
    </w:p>
    <w:tbl>
      <w:tblPr>
        <w:tblStyle w:val="21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1"/>
        <w:gridCol w:w="2276"/>
        <w:gridCol w:w="4487"/>
      </w:tblGrid>
      <w:tr w14:paraId="6F99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78D45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风险值范围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ABA4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风险等级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021AE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响应要求</w:t>
            </w:r>
          </w:p>
        </w:tc>
      </w:tr>
      <w:tr w14:paraId="14A3D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DEF35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2217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高（H）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DA66D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立即处理，优先投入资源</w:t>
            </w:r>
          </w:p>
        </w:tc>
      </w:tr>
      <w:tr w14:paraId="1B2FB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B6AD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5-11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0B4B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中（M）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EC14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制定计划，限期整改</w:t>
            </w:r>
          </w:p>
        </w:tc>
      </w:tr>
      <w:tr w14:paraId="4EEAC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AA14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30ABD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低（L）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25431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日常监控，定期复查</w:t>
            </w:r>
          </w:p>
        </w:tc>
      </w:tr>
    </w:tbl>
    <w:p w14:paraId="6349E22D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1" w:name="_Toc10554"/>
      <w:r>
        <w:rPr>
          <w:rFonts w:hint="default"/>
          <w:lang w:val="en-US" w:eastAsia="zh-CN"/>
        </w:rPr>
        <w:t>风险评估周期</w:t>
      </w:r>
      <w:bookmarkEnd w:id="21"/>
    </w:p>
    <w:p w14:paraId="0794D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全面评估：每年至少一次</w:t>
      </w:r>
    </w:p>
    <w:p w14:paraId="15037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专项评估：系统重大变更后</w:t>
      </w:r>
    </w:p>
    <w:p w14:paraId="3E871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临时评估：发生重大安全事件后</w:t>
      </w:r>
    </w:p>
    <w:p w14:paraId="1D01E3CC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2" w:name="_Toc32010"/>
      <w:r>
        <w:rPr>
          <w:rFonts w:hint="eastAsia"/>
          <w:lang w:val="en-US" w:eastAsia="zh-CN"/>
        </w:rPr>
        <w:t>应急事件与应急预案体系</w:t>
      </w:r>
      <w:bookmarkEnd w:id="22"/>
    </w:p>
    <w:p w14:paraId="4EFE7287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3" w:name="_Toc27600"/>
      <w:r>
        <w:rPr>
          <w:rFonts w:hint="default"/>
          <w:lang w:val="en-US" w:eastAsia="zh-CN"/>
        </w:rPr>
        <w:t>事件分级标准</w:t>
      </w:r>
      <w:bookmarkEnd w:id="2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1104"/>
        <w:gridCol w:w="3084"/>
        <w:gridCol w:w="1104"/>
      </w:tblGrid>
      <w:tr w14:paraId="56CD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48568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事件等级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3FF5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综合分值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A3891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影响描述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8D653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响应时限</w:t>
            </w:r>
          </w:p>
        </w:tc>
      </w:tr>
      <w:tr w14:paraId="79178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7D354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I级（重大）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647CF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&gt;12分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EEBA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核心业务完全中断，影响广泛用户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999D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≤15分钟</w:t>
            </w:r>
          </w:p>
        </w:tc>
      </w:tr>
      <w:tr w14:paraId="5719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732CF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II级（较大）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75D5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5-12分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CACF3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部分核心业务中断，影响一定范围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0F808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≤30分钟</w:t>
            </w:r>
          </w:p>
        </w:tc>
      </w:tr>
      <w:tr w14:paraId="079E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67D6D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III级（一般）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33341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1-4分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77813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非核心业务中断，影响个别用户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A7E6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≤60分钟</w:t>
            </w:r>
          </w:p>
        </w:tc>
      </w:tr>
    </w:tbl>
    <w:p w14:paraId="73BC14B8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4" w:name="_Toc21202"/>
      <w:r>
        <w:rPr>
          <w:rFonts w:hint="default"/>
          <w:lang w:val="en-US" w:eastAsia="zh-CN"/>
        </w:rPr>
        <w:t>事件分类示例</w:t>
      </w:r>
      <w:bookmarkEnd w:id="24"/>
    </w:p>
    <w:p w14:paraId="0B08A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网络类：网络中断、DDoS攻击、DNS故障</w:t>
      </w:r>
    </w:p>
    <w:p w14:paraId="08649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系统类：服务器宕机、操作系统崩溃</w:t>
      </w:r>
    </w:p>
    <w:p w14:paraId="4679E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应用类：业务系统无法访问、数据错误</w:t>
      </w:r>
    </w:p>
    <w:p w14:paraId="55163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安全类：病毒爆发、未授权访问、数据泄露</w:t>
      </w:r>
    </w:p>
    <w:p w14:paraId="3F396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设施类：电力中断、空调故障、火灾水灾</w:t>
      </w:r>
    </w:p>
    <w:p w14:paraId="6C77A0C5">
      <w:pPr>
        <w:pStyle w:val="33"/>
        <w:bidi w:val="0"/>
        <w:rPr>
          <w:rFonts w:hint="default"/>
          <w:lang w:val="en-US" w:eastAsia="zh-CN"/>
        </w:rPr>
      </w:pPr>
      <w:bookmarkStart w:id="25" w:name="_Toc28158"/>
      <w:r>
        <w:rPr>
          <w:rFonts w:hint="eastAsia"/>
          <w:lang w:val="en-US" w:eastAsia="zh-CN"/>
        </w:rPr>
        <w:t>应急预案体系</w:t>
      </w:r>
      <w:bookmarkEnd w:id="25"/>
    </w:p>
    <w:p w14:paraId="01775C06">
      <w:pPr>
        <w:pStyle w:val="34"/>
        <w:bidi w:val="0"/>
        <w:rPr>
          <w:rFonts w:hint="default"/>
          <w:lang w:val="en-US" w:eastAsia="zh-CN"/>
        </w:rPr>
      </w:pPr>
      <w:bookmarkStart w:id="26" w:name="_Toc11604"/>
      <w:r>
        <w:rPr>
          <w:rFonts w:hint="eastAsia"/>
          <w:lang w:val="en-US" w:eastAsia="zh-CN"/>
        </w:rPr>
        <w:t>应急预案启动</w:t>
      </w:r>
      <w:bookmarkEnd w:id="26"/>
    </w:p>
    <w:p w14:paraId="4CF0DB3A">
      <w:pPr>
        <w:pStyle w:val="32"/>
        <w:bidi w:val="0"/>
      </w:pPr>
      <w:r>
        <w:t>公司应急预案体系采用“总体预案+专项预案+现场处置方案”三级结构：</w:t>
      </w:r>
    </w:p>
    <w:p w14:paraId="697481AA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总体预案：即本制度，规定应急组织、流程、保障等通用要求。</w:t>
      </w:r>
    </w:p>
    <w:p w14:paraId="77000385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专项预案：针对特定类型事件（如核心系统宕机、网络攻击、数据泄露）制定的详细处置程序（参见附件X）。</w:t>
      </w:r>
    </w:p>
    <w:p w14:paraId="10BC03A3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现场处置方案：针对具体客户或业务系统编制的操作步骤、联络清单与恢复指南。</w:t>
      </w:r>
    </w:p>
    <w:p w14:paraId="0A8D9A99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启动条件：发生Ⅰ级或Ⅱ级事件、客户正式请求、或应急领导小组研判有必要时立即启动。</w:t>
      </w:r>
    </w:p>
    <w:p w14:paraId="64BDBE7F">
      <w:pPr>
        <w:pStyle w:val="34"/>
        <w:bidi w:val="0"/>
        <w:rPr>
          <w:rFonts w:hint="eastAsia"/>
          <w:lang w:val="en-US" w:eastAsia="zh-CN"/>
        </w:rPr>
      </w:pPr>
      <w:bookmarkStart w:id="27" w:name="_Toc30832"/>
      <w:r>
        <w:rPr>
          <w:rFonts w:hint="eastAsia"/>
          <w:lang w:val="en-US" w:eastAsia="zh-CN"/>
        </w:rPr>
        <w:t>应急指挥与授权</w:t>
      </w:r>
      <w:bookmarkEnd w:id="27"/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1464"/>
        <w:gridCol w:w="1824"/>
        <w:gridCol w:w="2177"/>
      </w:tblGrid>
      <w:tr w14:paraId="79DC6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871D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5E45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现场指挥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D34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资源调配权限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BDB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关键决策上报</w:t>
            </w:r>
          </w:p>
        </w:tc>
      </w:tr>
      <w:tr w14:paraId="2A0E6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FB56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Ⅰ级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DD0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副总经理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E7C7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全部资源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2678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对外发布、重大方案</w:t>
            </w:r>
          </w:p>
        </w:tc>
      </w:tr>
      <w:tr w14:paraId="5C0E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2BD0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Ⅱ级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6897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2A90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部门内及关联资源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ECDF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跨部门协调、预算外支出</w:t>
            </w:r>
          </w:p>
        </w:tc>
      </w:tr>
      <w:tr w14:paraId="2D73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57CC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Ⅲ级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E224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26A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项目组资源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0AC5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466E2603">
      <w:pPr>
        <w:pStyle w:val="34"/>
        <w:bidi w:val="0"/>
        <w:rPr>
          <w:rFonts w:hint="default"/>
          <w:lang w:val="en-US" w:eastAsia="zh-CN"/>
        </w:rPr>
      </w:pPr>
      <w:bookmarkStart w:id="28" w:name="_Toc2226"/>
      <w:r>
        <w:rPr>
          <w:rFonts w:hint="eastAsia"/>
          <w:lang w:val="en-US" w:eastAsia="zh-CN"/>
        </w:rPr>
        <w:t>核心场景处置指引</w:t>
      </w:r>
      <w:bookmarkEnd w:id="28"/>
    </w:p>
    <w:p w14:paraId="59275FF4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首要目标：30分钟内恢复核心服务。</w:t>
      </w:r>
    </w:p>
    <w:p w14:paraId="486327F8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关键动作：</w:t>
      </w:r>
    </w:p>
    <w:p w14:paraId="48E2CD03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确认备份系统状态并执行切换。</w:t>
      </w:r>
    </w:p>
    <w:p w14:paraId="25C7F8EB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启动数据恢复与一致性检查。</w:t>
      </w:r>
    </w:p>
    <w:p w14:paraId="1D76897D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验证核心业务功能。</w:t>
      </w:r>
    </w:p>
    <w:p w14:paraId="0E65F85B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沟通要求：每15分钟向客户及领导小组通报进展。</w:t>
      </w:r>
    </w:p>
    <w:p w14:paraId="73872D28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9" w:name="_Toc7261"/>
      <w:r>
        <w:rPr>
          <w:rFonts w:hint="default"/>
          <w:lang w:val="en-US" w:eastAsia="zh-CN"/>
        </w:rPr>
        <w:t>应急响应流程</w:t>
      </w:r>
      <w:bookmarkEnd w:id="29"/>
    </w:p>
    <w:p w14:paraId="13599E06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30" w:name="_Toc2165"/>
      <w:r>
        <w:rPr>
          <w:rFonts w:hint="default"/>
          <w:lang w:val="en-US" w:eastAsia="zh-CN"/>
        </w:rPr>
        <w:t>总体响应流程</w:t>
      </w:r>
      <w:bookmarkEnd w:id="30"/>
    </w:p>
    <w:p w14:paraId="04F7B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4081145" cy="4076700"/>
            <wp:effectExtent l="0" t="0" r="146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B3A5">
      <w:pPr>
        <w:pStyle w:val="33"/>
        <w:bidi w:val="0"/>
        <w:rPr>
          <w:rFonts w:hint="default"/>
          <w:lang w:val="en-US" w:eastAsia="zh-CN"/>
        </w:rPr>
      </w:pPr>
      <w:bookmarkStart w:id="31" w:name="_Toc12692"/>
      <w:r>
        <w:rPr>
          <w:rFonts w:hint="default"/>
          <w:lang w:val="en-US" w:eastAsia="zh-CN"/>
        </w:rPr>
        <w:t>各阶段详细要求</w:t>
      </w:r>
      <w:bookmarkEnd w:id="31"/>
    </w:p>
    <w:p w14:paraId="16F4904E">
      <w:pPr>
        <w:pStyle w:val="34"/>
        <w:bidi w:val="0"/>
        <w:rPr>
          <w:rFonts w:hint="default"/>
          <w:lang w:val="en-US" w:eastAsia="zh-CN"/>
        </w:rPr>
      </w:pPr>
      <w:bookmarkStart w:id="32" w:name="_Toc1526"/>
      <w:r>
        <w:rPr>
          <w:rFonts w:hint="default"/>
          <w:lang w:val="en-US" w:eastAsia="zh-CN"/>
        </w:rPr>
        <w:t>监测与报告阶段</w:t>
      </w:r>
      <w:bookmarkEnd w:id="32"/>
    </w:p>
    <w:p w14:paraId="721FB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监测方式：7×24小时监控平台、日志分析、用户反馈</w:t>
      </w:r>
    </w:p>
    <w:p w14:paraId="2406A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报告渠道：电话、邮件、即时通讯、工单系统</w:t>
      </w:r>
    </w:p>
    <w:p w14:paraId="47631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报告内容：事件现象、发生时间、影响范围、初步判断</w:t>
      </w:r>
    </w:p>
    <w:p w14:paraId="670536A3">
      <w:pPr>
        <w:pStyle w:val="34"/>
        <w:bidi w:val="0"/>
        <w:rPr>
          <w:rFonts w:hint="default"/>
          <w:lang w:val="en-US" w:eastAsia="zh-CN"/>
        </w:rPr>
      </w:pPr>
      <w:bookmarkStart w:id="33" w:name="_Toc4543"/>
      <w:r>
        <w:rPr>
          <w:rFonts w:hint="default"/>
          <w:lang w:val="en-US" w:eastAsia="zh-CN"/>
        </w:rPr>
        <w:t>分析与定级阶段</w:t>
      </w:r>
      <w:bookmarkEnd w:id="33"/>
    </w:p>
    <w:p w14:paraId="5F6A7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成立研判小组：技术、业务、安全人员共同参与</w:t>
      </w:r>
    </w:p>
    <w:p w14:paraId="4A6EE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使用定级工具：参考风险矩阵与历史案例</w:t>
      </w:r>
    </w:p>
    <w:p w14:paraId="2E6E2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明确响应级别：确定响应团队与资源投入</w:t>
      </w:r>
    </w:p>
    <w:p w14:paraId="3023F0C1">
      <w:pPr>
        <w:pStyle w:val="34"/>
        <w:bidi w:val="0"/>
        <w:rPr>
          <w:rFonts w:hint="default"/>
          <w:lang w:val="en-US" w:eastAsia="zh-CN"/>
        </w:rPr>
      </w:pPr>
      <w:bookmarkStart w:id="34" w:name="_Toc11013"/>
      <w:r>
        <w:rPr>
          <w:rFonts w:hint="default"/>
          <w:lang w:val="en-US" w:eastAsia="zh-CN"/>
        </w:rPr>
        <w:t>应急处置阶段</w:t>
      </w:r>
      <w:bookmarkEnd w:id="34"/>
    </w:p>
    <w:p w14:paraId="55C5C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首要目标：恢复关键业务，控制影响范围</w:t>
      </w:r>
    </w:p>
    <w:p w14:paraId="427FE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处置策略：</w:t>
      </w:r>
    </w:p>
    <w:p w14:paraId="6CBEB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隔离故障点</w:t>
      </w:r>
    </w:p>
    <w:p w14:paraId="3DA6E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启用备份系统</w:t>
      </w:r>
    </w:p>
    <w:p w14:paraId="669DD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实施临时解决方案</w:t>
      </w:r>
    </w:p>
    <w:p w14:paraId="7335F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记录要求：详细记录处置过程与操作步骤</w:t>
      </w:r>
    </w:p>
    <w:p w14:paraId="614FA8EB">
      <w:pPr>
        <w:pStyle w:val="34"/>
        <w:bidi w:val="0"/>
        <w:rPr>
          <w:rFonts w:hint="default"/>
          <w:lang w:val="en-US" w:eastAsia="zh-CN"/>
        </w:rPr>
      </w:pPr>
      <w:bookmarkStart w:id="35" w:name="_Toc25339"/>
      <w:r>
        <w:rPr>
          <w:rFonts w:hint="default"/>
          <w:lang w:val="en-US" w:eastAsia="zh-CN"/>
        </w:rPr>
        <w:t>恢复与验证阶段</w:t>
      </w:r>
      <w:bookmarkEnd w:id="35"/>
    </w:p>
    <w:p w14:paraId="58DEA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恢复顺序：核心业务→重要业务→一般业务</w:t>
      </w:r>
    </w:p>
    <w:p w14:paraId="48992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验证方法：功能测试、性能测试、用户确认</w:t>
      </w:r>
    </w:p>
    <w:p w14:paraId="72B92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观察期设置：恢复后至少观察24小时</w:t>
      </w:r>
    </w:p>
    <w:p w14:paraId="0557DFBC">
      <w:pPr>
        <w:pStyle w:val="34"/>
        <w:bidi w:val="0"/>
        <w:rPr>
          <w:rFonts w:hint="default"/>
          <w:lang w:val="en-US" w:eastAsia="zh-CN"/>
        </w:rPr>
      </w:pPr>
      <w:bookmarkStart w:id="36" w:name="_Toc17073"/>
      <w:r>
        <w:rPr>
          <w:rFonts w:hint="eastAsia"/>
          <w:lang w:val="en-US" w:eastAsia="zh-CN"/>
        </w:rPr>
        <w:t>总结与报告阶段</w:t>
      </w:r>
      <w:bookmarkEnd w:id="36"/>
    </w:p>
    <w:p w14:paraId="68E9D1A4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在应急处置结束、系统恢复稳定后，必须进行事件总结，以识别根本原因并推动持续改进。</w:t>
      </w:r>
    </w:p>
    <w:p w14:paraId="480A1434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报告编制：</w:t>
      </w:r>
    </w:p>
    <w:p w14:paraId="2E8E5C9E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责任人：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。</w:t>
      </w:r>
    </w:p>
    <w:p w14:paraId="11D19883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时限：Ⅰ级事件7个工作日内、Ⅱ级事件10个工作日内、Ⅲ级事件15个工作日内，完成《应急事件总结报告》（附件3）。</w:t>
      </w:r>
    </w:p>
    <w:p w14:paraId="39F0922F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内容：需包含事件概述、处置过程时间线、根本原因分析（RCA）、影响评估、改进措施计划及经验教训。</w:t>
      </w:r>
    </w:p>
    <w:p w14:paraId="6E5172DC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根本原因分析(RCA)：</w:t>
      </w:r>
    </w:p>
    <w:p w14:paraId="493616EC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必须使用系统化方法（如5Why分析法、鱼骨图）追溯至管理、流程或技术的根本原因，而非仅停留于表面现象。</w:t>
      </w:r>
    </w:p>
    <w:p w14:paraId="68400B8B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评审与归档：</w:t>
      </w:r>
    </w:p>
    <w:p w14:paraId="72C661D0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总结报告需提交应急管理领导小组评审。</w:t>
      </w:r>
    </w:p>
    <w:p w14:paraId="7E386539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评审通过后，报告及所有过程记录由质量部统一归档，并将关键知识提炼后录入公司知识库。</w:t>
      </w:r>
    </w:p>
    <w:p w14:paraId="7C75D437">
      <w:pPr>
        <w:pStyle w:val="34"/>
        <w:bidi w:val="0"/>
        <w:rPr>
          <w:rFonts w:hint="default"/>
          <w:lang w:val="en-US" w:eastAsia="zh-CN"/>
        </w:rPr>
      </w:pPr>
      <w:bookmarkStart w:id="37" w:name="_Toc5112"/>
      <w:r>
        <w:rPr>
          <w:rFonts w:hint="default"/>
          <w:lang w:val="en-US" w:eastAsia="zh-CN"/>
        </w:rPr>
        <w:t>总结改进阶段</w:t>
      </w:r>
      <w:bookmarkEnd w:id="37"/>
    </w:p>
    <w:p w14:paraId="08763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根本原因分析：使用5Why、鱼骨图等方法</w:t>
      </w:r>
    </w:p>
    <w:p w14:paraId="67D27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制定整改措施：技术优化、流程改进、培训加强</w:t>
      </w:r>
    </w:p>
    <w:p w14:paraId="18A1B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更新知识库：将处理经验纳入应急知识库</w:t>
      </w:r>
    </w:p>
    <w:p w14:paraId="1679AF6E">
      <w:pPr>
        <w:pStyle w:val="31"/>
        <w:bidi w:val="0"/>
        <w:rPr>
          <w:rFonts w:hint="default"/>
          <w:lang w:val="en-US" w:eastAsia="zh-CN"/>
        </w:rPr>
      </w:pPr>
      <w:bookmarkStart w:id="38" w:name="_Toc31069"/>
      <w:r>
        <w:rPr>
          <w:rFonts w:hint="default"/>
          <w:lang w:val="en-US" w:eastAsia="zh-CN"/>
        </w:rPr>
        <w:t>应急沟通管理机制</w:t>
      </w:r>
      <w:bookmarkEnd w:id="38"/>
    </w:p>
    <w:p w14:paraId="50452115">
      <w:pPr>
        <w:pStyle w:val="33"/>
        <w:bidi w:val="0"/>
        <w:rPr>
          <w:rFonts w:hint="default"/>
          <w:lang w:val="en-US" w:eastAsia="zh-CN"/>
        </w:rPr>
      </w:pPr>
      <w:bookmarkStart w:id="39" w:name="_Toc32307"/>
      <w:r>
        <w:rPr>
          <w:rFonts w:hint="default"/>
          <w:lang w:val="en-US" w:eastAsia="zh-CN"/>
        </w:rPr>
        <w:t>沟通原则</w:t>
      </w:r>
      <w:bookmarkEnd w:id="39"/>
    </w:p>
    <w:p w14:paraId="3C4AF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及时性原则：第一时间通报关键信息</w:t>
      </w:r>
    </w:p>
    <w:p w14:paraId="179DE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准确性原则：确保信息真实、准确、完整</w:t>
      </w:r>
    </w:p>
    <w:p w14:paraId="16A66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适度性原则：根据受众提供适宜信息</w:t>
      </w:r>
    </w:p>
    <w:p w14:paraId="78161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一致性原则：统一口径，避免信息矛盾</w:t>
      </w:r>
    </w:p>
    <w:p w14:paraId="77FC69D3">
      <w:pPr>
        <w:pStyle w:val="33"/>
        <w:bidi w:val="0"/>
        <w:rPr>
          <w:rFonts w:hint="default"/>
          <w:lang w:val="en-US" w:eastAsia="zh-CN"/>
        </w:rPr>
      </w:pPr>
      <w:bookmarkStart w:id="40" w:name="_Toc20110"/>
      <w:r>
        <w:rPr>
          <w:rFonts w:hint="default"/>
          <w:lang w:val="en-US" w:eastAsia="zh-CN"/>
        </w:rPr>
        <w:t>信息发布管理</w:t>
      </w:r>
      <w:bookmarkEnd w:id="40"/>
    </w:p>
    <w:p w14:paraId="23E60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发布渠道：邮件、公告、会议、电话会议</w:t>
      </w:r>
    </w:p>
    <w:p w14:paraId="47268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发布内容：事件状态、影响范围、预计恢复时间、处理进展</w:t>
      </w:r>
    </w:p>
    <w:p w14:paraId="67EFC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发布时机：</w:t>
      </w:r>
    </w:p>
    <w:p w14:paraId="68B9D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初始通报：事件确认后30分钟内</w:t>
      </w:r>
    </w:p>
    <w:p w14:paraId="02066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进展通报：每2-4小时（根据事件级别）</w:t>
      </w:r>
    </w:p>
    <w:p w14:paraId="3157C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总结通报：事件解决后24小时内</w:t>
      </w:r>
    </w:p>
    <w:p w14:paraId="41B45571">
      <w:pPr>
        <w:pStyle w:val="33"/>
        <w:bidi w:val="0"/>
        <w:rPr>
          <w:rFonts w:hint="default"/>
          <w:lang w:val="en-US" w:eastAsia="zh-CN"/>
        </w:rPr>
      </w:pPr>
      <w:bookmarkStart w:id="41" w:name="_Toc1817"/>
      <w:r>
        <w:rPr>
          <w:rFonts w:hint="default"/>
          <w:lang w:val="en-US" w:eastAsia="zh-CN"/>
        </w:rPr>
        <w:t>沟通障碍处理</w:t>
      </w:r>
      <w:bookmarkEnd w:id="41"/>
    </w:p>
    <w:p w14:paraId="08454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常见障碍：信息不对称、职责不清、沟通渠道不畅</w:t>
      </w:r>
    </w:p>
    <w:p w14:paraId="32843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解决方案：</w:t>
      </w:r>
    </w:p>
    <w:p w14:paraId="72519E6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建立明确的沟通路线图</w:t>
      </w:r>
    </w:p>
    <w:p w14:paraId="7DE7CBC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指定专职沟通协调员</w:t>
      </w:r>
    </w:p>
    <w:p w14:paraId="619AF67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使用标准化沟通模板</w:t>
      </w:r>
    </w:p>
    <w:p w14:paraId="2F40D9B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定期进行沟通演练</w:t>
      </w:r>
    </w:p>
    <w:p w14:paraId="53EDACA0">
      <w:pPr>
        <w:pStyle w:val="31"/>
        <w:bidi w:val="0"/>
        <w:rPr>
          <w:rFonts w:hint="default"/>
          <w:lang w:val="en-US" w:eastAsia="zh-CN"/>
        </w:rPr>
      </w:pPr>
      <w:bookmarkStart w:id="42" w:name="_Toc19986"/>
      <w:r>
        <w:rPr>
          <w:rFonts w:hint="default"/>
          <w:lang w:val="en-US" w:eastAsia="zh-CN"/>
        </w:rPr>
        <w:t>应急保障与资源管理</w:t>
      </w:r>
      <w:bookmarkEnd w:id="42"/>
    </w:p>
    <w:p w14:paraId="046E9411">
      <w:pPr>
        <w:pStyle w:val="33"/>
        <w:bidi w:val="0"/>
        <w:rPr>
          <w:rFonts w:hint="default"/>
          <w:lang w:val="en-US" w:eastAsia="zh-CN"/>
        </w:rPr>
      </w:pPr>
      <w:bookmarkStart w:id="43" w:name="_Toc7945"/>
      <w:r>
        <w:rPr>
          <w:rFonts w:hint="default"/>
          <w:lang w:val="en-US" w:eastAsia="zh-CN"/>
        </w:rPr>
        <w:t>人力资源保障</w:t>
      </w:r>
      <w:bookmarkEnd w:id="43"/>
    </w:p>
    <w:p w14:paraId="0A058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应急团队组建：明确各角色AB岗</w:t>
      </w:r>
    </w:p>
    <w:p w14:paraId="7A140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技能培训：每季度至少一次应急培训</w:t>
      </w:r>
    </w:p>
    <w:p w14:paraId="0AB7B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人员调度机制：建立快速响应人员库</w:t>
      </w:r>
    </w:p>
    <w:p w14:paraId="717D1028">
      <w:pPr>
        <w:pStyle w:val="33"/>
        <w:bidi w:val="0"/>
        <w:rPr>
          <w:rFonts w:hint="default"/>
          <w:lang w:val="en-US" w:eastAsia="zh-CN"/>
        </w:rPr>
      </w:pPr>
      <w:bookmarkStart w:id="44" w:name="_Toc4975"/>
      <w:r>
        <w:rPr>
          <w:rFonts w:hint="default"/>
          <w:lang w:val="en-US" w:eastAsia="zh-CN"/>
        </w:rPr>
        <w:t>技术资源保障</w:t>
      </w:r>
      <w:bookmarkEnd w:id="44"/>
    </w:p>
    <w:tbl>
      <w:tblPr>
        <w:tblStyle w:val="21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8"/>
        <w:gridCol w:w="4687"/>
        <w:gridCol w:w="2369"/>
      </w:tblGrid>
      <w:tr w14:paraId="2724D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9509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资源类型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3A1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配置要求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FE4E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检查频率</w:t>
            </w:r>
          </w:p>
        </w:tc>
      </w:tr>
      <w:tr w14:paraId="265C9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77F2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备用设备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EB9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关键设备有热备或冷备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BA41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每月一次</w:t>
            </w:r>
          </w:p>
        </w:tc>
      </w:tr>
      <w:tr w14:paraId="45592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22CC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备份系统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51B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核心系统有异地备份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8243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每周一次</w:t>
            </w:r>
          </w:p>
        </w:tc>
      </w:tr>
      <w:tr w14:paraId="6C3EE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692B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3142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专用应急工具包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B820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每季度一次</w:t>
            </w:r>
          </w:p>
        </w:tc>
      </w:tr>
      <w:tr w14:paraId="3E535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F95B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文档资料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F1ED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应急预案、配置文档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E4B6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更新即检查</w:t>
            </w:r>
          </w:p>
        </w:tc>
      </w:tr>
    </w:tbl>
    <w:p w14:paraId="72A13BF8">
      <w:pPr>
        <w:pStyle w:val="33"/>
        <w:bidi w:val="0"/>
        <w:rPr>
          <w:rFonts w:hint="default"/>
          <w:lang w:val="en-US" w:eastAsia="zh-CN"/>
        </w:rPr>
      </w:pPr>
      <w:bookmarkStart w:id="45" w:name="_Toc13708"/>
      <w:r>
        <w:rPr>
          <w:rFonts w:hint="default"/>
          <w:lang w:val="en-US" w:eastAsia="zh-CN"/>
        </w:rPr>
        <w:t>物资与后勤保障</w:t>
      </w:r>
      <w:bookmarkEnd w:id="45"/>
    </w:p>
    <w:p w14:paraId="22F65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应急物资清单：包括硬件、软件、耗材、文档</w:t>
      </w:r>
    </w:p>
    <w:p w14:paraId="7AE50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供应商快速通道：建立优先支持机制</w:t>
      </w:r>
    </w:p>
    <w:p w14:paraId="211E4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后勤支持：交通、食宿、通讯等保障</w:t>
      </w:r>
    </w:p>
    <w:p w14:paraId="20F97903">
      <w:pPr>
        <w:pStyle w:val="31"/>
        <w:bidi w:val="0"/>
        <w:rPr>
          <w:rFonts w:hint="default"/>
          <w:lang w:val="en-US" w:eastAsia="zh-CN"/>
        </w:rPr>
      </w:pPr>
      <w:bookmarkStart w:id="46" w:name="_Toc29116"/>
      <w:r>
        <w:rPr>
          <w:rFonts w:hint="default"/>
          <w:lang w:val="en-US" w:eastAsia="zh-CN"/>
        </w:rPr>
        <w:t>应急演练与持续改进</w:t>
      </w:r>
      <w:bookmarkEnd w:id="46"/>
    </w:p>
    <w:p w14:paraId="5CE08C9B">
      <w:pPr>
        <w:pStyle w:val="33"/>
        <w:bidi w:val="0"/>
        <w:rPr>
          <w:rFonts w:hint="default"/>
          <w:lang w:val="en-US" w:eastAsia="zh-CN"/>
        </w:rPr>
      </w:pPr>
      <w:bookmarkStart w:id="47" w:name="_Toc13380"/>
      <w:r>
        <w:rPr>
          <w:rFonts w:hint="default"/>
          <w:lang w:val="en-US" w:eastAsia="zh-CN"/>
        </w:rPr>
        <w:t>演练计划</w:t>
      </w:r>
      <w:bookmarkEnd w:id="4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3"/>
        <w:gridCol w:w="1656"/>
        <w:gridCol w:w="1584"/>
        <w:gridCol w:w="1788"/>
      </w:tblGrid>
      <w:tr w14:paraId="1F90B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A4E2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演练类型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6D35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频率</w:t>
            </w:r>
          </w:p>
        </w:tc>
        <w:tc>
          <w:tcPr>
            <w:tcW w:w="15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ABD0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参与范围</w:t>
            </w:r>
          </w:p>
        </w:tc>
        <w:tc>
          <w:tcPr>
            <w:tcW w:w="178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D3F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</w:t>
            </w:r>
          </w:p>
        </w:tc>
      </w:tr>
      <w:tr w14:paraId="39380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3908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桌面推演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0202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每季度</w:t>
            </w:r>
          </w:p>
        </w:tc>
        <w:tc>
          <w:tcPr>
            <w:tcW w:w="15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AB5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核心团队</w:t>
            </w:r>
          </w:p>
        </w:tc>
        <w:tc>
          <w:tcPr>
            <w:tcW w:w="178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F523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熟悉流程</w:t>
            </w:r>
          </w:p>
        </w:tc>
      </w:tr>
      <w:tr w14:paraId="70007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DE81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专项演练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2467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每半年</w:t>
            </w:r>
          </w:p>
        </w:tc>
        <w:tc>
          <w:tcPr>
            <w:tcW w:w="15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4FA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相关团队</w:t>
            </w:r>
          </w:p>
        </w:tc>
        <w:tc>
          <w:tcPr>
            <w:tcW w:w="178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A5E2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检验专项能力</w:t>
            </w:r>
          </w:p>
        </w:tc>
      </w:tr>
      <w:tr w14:paraId="6C904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5F6B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全面演练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D01E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每年</w:t>
            </w:r>
          </w:p>
        </w:tc>
        <w:tc>
          <w:tcPr>
            <w:tcW w:w="15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0B7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全员参与</w:t>
            </w:r>
          </w:p>
        </w:tc>
        <w:tc>
          <w:tcPr>
            <w:tcW w:w="178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960C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检验整体响应</w:t>
            </w:r>
          </w:p>
        </w:tc>
      </w:tr>
    </w:tbl>
    <w:p w14:paraId="24236796">
      <w:pPr>
        <w:pStyle w:val="33"/>
        <w:bidi w:val="0"/>
        <w:rPr>
          <w:rFonts w:hint="default"/>
          <w:lang w:val="en-US" w:eastAsia="zh-CN"/>
        </w:rPr>
      </w:pPr>
      <w:bookmarkStart w:id="48" w:name="_Toc11091"/>
      <w:r>
        <w:rPr>
          <w:rFonts w:hint="default"/>
          <w:lang w:val="en-US" w:eastAsia="zh-CN"/>
        </w:rPr>
        <w:t>演练流程</w:t>
      </w:r>
      <w:bookmarkEnd w:id="48"/>
    </w:p>
    <w:p w14:paraId="49DAD83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策划阶段：制定演练方案，明确场景与目标</w:t>
      </w:r>
    </w:p>
    <w:p w14:paraId="2FD6C76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准备阶段：准备环境、数据、人员分工</w:t>
      </w:r>
    </w:p>
    <w:p w14:paraId="6003C62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执行阶段：按计划开展演练并记录</w:t>
      </w:r>
    </w:p>
    <w:p w14:paraId="40FFA27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评估阶段：评估演练效果，识别问题</w:t>
      </w:r>
    </w:p>
    <w:p w14:paraId="513E8B5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改进阶段：制定改进措施并跟踪</w:t>
      </w:r>
    </w:p>
    <w:p w14:paraId="177FAAB9">
      <w:pPr>
        <w:pStyle w:val="33"/>
        <w:bidi w:val="0"/>
        <w:rPr>
          <w:rFonts w:hint="default"/>
          <w:lang w:val="en-US" w:eastAsia="zh-CN"/>
        </w:rPr>
      </w:pPr>
      <w:bookmarkStart w:id="49" w:name="_Toc24160"/>
      <w:r>
        <w:rPr>
          <w:rFonts w:hint="default"/>
          <w:lang w:val="en-US" w:eastAsia="zh-CN"/>
        </w:rPr>
        <w:t>持续改进机制</w:t>
      </w:r>
      <w:bookmarkEnd w:id="49"/>
    </w:p>
    <w:p w14:paraId="24F5C21C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建立完整的“计划-执行-检查-处理”（PDCA）改进闭环：</w:t>
      </w:r>
    </w:p>
    <w:p w14:paraId="12E7174C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(计划)：根据事件总结报告和演练评估报告，制定具体的改进措施，明确责任人与完成时限。</w:t>
      </w:r>
    </w:p>
    <w:p w14:paraId="1E537381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(执行)：责任人实施改进措施，如流程优化、系统加固、培训开展等。</w:t>
      </w:r>
    </w:p>
    <w:p w14:paraId="5B809C31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(检查)：质量部负责跟踪验证改进措施的完成情况与效果，通过后续事件、演练或专项审计进行检验。</w:t>
      </w:r>
    </w:p>
    <w:p w14:paraId="316EFA83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(处理)：将行之有效的措施标准化，纳入制度或预案；未达标的措施转入下一个PDCA循环。</w:t>
      </w:r>
      <w:bookmarkStart w:id="55" w:name="_GoBack"/>
      <w:bookmarkEnd w:id="55"/>
    </w:p>
    <w:p w14:paraId="1860E505">
      <w:pPr>
        <w:pStyle w:val="33"/>
        <w:bidi w:val="0"/>
        <w:rPr>
          <w:rFonts w:hint="default"/>
          <w:lang w:val="en-US" w:eastAsia="zh-CN"/>
        </w:rPr>
      </w:pPr>
      <w:bookmarkStart w:id="50" w:name="_Toc16380"/>
      <w:r>
        <w:rPr>
          <w:rFonts w:hint="eastAsia"/>
          <w:lang w:val="en-US" w:eastAsia="zh-CN"/>
        </w:rPr>
        <w:t>考核指标</w:t>
      </w:r>
      <w:bookmarkEnd w:id="5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3C6D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shd w:val="clear" w:color="auto" w:fill="C0C0C0"/>
            <w:vAlign w:val="center"/>
          </w:tcPr>
          <w:p w14:paraId="0022DC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704" w:type="dxa"/>
            <w:shd w:val="clear" w:color="auto" w:fill="C0C0C0"/>
            <w:vAlign w:val="center"/>
          </w:tcPr>
          <w:p w14:paraId="02EF98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1704" w:type="dxa"/>
            <w:shd w:val="clear" w:color="auto" w:fill="C0C0C0"/>
            <w:vAlign w:val="center"/>
          </w:tcPr>
          <w:p w14:paraId="5A383F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705" w:type="dxa"/>
            <w:shd w:val="clear" w:color="auto" w:fill="C0C0C0"/>
            <w:vAlign w:val="center"/>
          </w:tcPr>
          <w:p w14:paraId="12D2C2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705" w:type="dxa"/>
            <w:shd w:val="clear" w:color="auto" w:fill="C0C0C0"/>
            <w:vAlign w:val="center"/>
          </w:tcPr>
          <w:p w14:paraId="682A5C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31567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0D06E298">
            <w:pPr>
              <w:pStyle w:val="32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21A96C8">
            <w:pPr>
              <w:pStyle w:val="29"/>
              <w:widowControl w:val="0"/>
              <w:spacing w:before="72" w:line="29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BB84871">
            <w:pPr>
              <w:pStyle w:val="29"/>
              <w:widowControl w:val="0"/>
              <w:spacing w:before="72" w:line="291" w:lineRule="auto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8BEC713">
            <w:pPr>
              <w:pStyle w:val="29"/>
              <w:widowControl w:val="0"/>
              <w:spacing w:before="72" w:line="291" w:lineRule="auto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半年</w:t>
            </w:r>
          </w:p>
        </w:tc>
        <w:tc>
          <w:tcPr>
            <w:tcW w:w="1705" w:type="dxa"/>
            <w:vAlign w:val="center"/>
          </w:tcPr>
          <w:p w14:paraId="46EB5E3B">
            <w:pPr>
              <w:pStyle w:val="29"/>
              <w:widowControl w:val="0"/>
              <w:spacing w:before="72" w:line="291" w:lineRule="auto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≥1次</w:t>
            </w:r>
          </w:p>
        </w:tc>
      </w:tr>
    </w:tbl>
    <w:p w14:paraId="74FEA587">
      <w:pPr>
        <w:pStyle w:val="32"/>
        <w:rPr>
          <w:rFonts w:hint="default"/>
          <w:lang w:val="en-US" w:eastAsia="zh-CN"/>
        </w:rPr>
      </w:pPr>
    </w:p>
    <w:p w14:paraId="3D20AD79">
      <w:pPr>
        <w:pStyle w:val="31"/>
        <w:bidi w:val="0"/>
        <w:rPr>
          <w:rFonts w:hint="default"/>
          <w:lang w:val="en-US" w:eastAsia="zh-CN"/>
        </w:rPr>
      </w:pPr>
      <w:bookmarkStart w:id="51" w:name="_Toc8339"/>
      <w:r>
        <w:rPr>
          <w:rFonts w:hint="default"/>
          <w:lang w:val="en-US" w:eastAsia="zh-CN"/>
        </w:rPr>
        <w:t>附则与附件</w:t>
      </w:r>
      <w:bookmarkEnd w:id="51"/>
    </w:p>
    <w:p w14:paraId="6A6B5651">
      <w:pPr>
        <w:pStyle w:val="33"/>
        <w:bidi w:val="0"/>
        <w:rPr>
          <w:rFonts w:hint="default"/>
          <w:lang w:val="en-US" w:eastAsia="zh-CN"/>
        </w:rPr>
      </w:pPr>
      <w:bookmarkStart w:id="52" w:name="_Toc19837"/>
      <w:r>
        <w:rPr>
          <w:rFonts w:hint="default"/>
          <w:lang w:val="en-US" w:eastAsia="zh-CN"/>
        </w:rPr>
        <w:t>制度生效与修订</w:t>
      </w:r>
      <w:bookmarkEnd w:id="52"/>
    </w:p>
    <w:p w14:paraId="3C8AC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本制度自发布之日起生效，由运维服务中心负责解释。重大修订需经应急管理领导小组审批。</w:t>
      </w:r>
    </w:p>
    <w:p w14:paraId="30FB04AA">
      <w:pPr>
        <w:pStyle w:val="33"/>
        <w:bidi w:val="0"/>
        <w:rPr>
          <w:rFonts w:hint="default"/>
          <w:lang w:val="en-US" w:eastAsia="zh-CN"/>
        </w:rPr>
      </w:pPr>
      <w:bookmarkStart w:id="53" w:name="_Toc32225"/>
      <w:r>
        <w:rPr>
          <w:rFonts w:hint="default"/>
          <w:lang w:val="en-US" w:eastAsia="zh-CN"/>
        </w:rPr>
        <w:t>附件清单</w:t>
      </w:r>
      <w:bookmarkEnd w:id="53"/>
    </w:p>
    <w:p w14:paraId="35465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附件1：应急联系人清单模板</w:t>
      </w:r>
    </w:p>
    <w:p w14:paraId="7F6E9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附件2：应急事件报告模板</w:t>
      </w:r>
    </w:p>
    <w:p w14:paraId="1ECB3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附件3：风险评估表模板</w:t>
      </w:r>
    </w:p>
    <w:p w14:paraId="6AD98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附件4：应急演练记录表</w:t>
      </w:r>
    </w:p>
    <w:p w14:paraId="472B4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附件5：应急物资清单模板</w:t>
      </w:r>
    </w:p>
    <w:p w14:paraId="1486E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</w:p>
    <w:p w14:paraId="367BDE2A">
      <w:pPr>
        <w:pStyle w:val="33"/>
        <w:bidi w:val="0"/>
        <w:rPr>
          <w:rFonts w:hint="default"/>
          <w:lang w:val="en-US" w:eastAsia="zh-CN"/>
        </w:rPr>
      </w:pPr>
      <w:bookmarkStart w:id="54" w:name="_Toc7613"/>
      <w:r>
        <w:rPr>
          <w:rFonts w:hint="default"/>
          <w:lang w:val="en-US" w:eastAsia="zh-CN"/>
        </w:rPr>
        <w:t>相关文件</w:t>
      </w:r>
      <w:bookmarkEnd w:id="54"/>
    </w:p>
    <w:p w14:paraId="27985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《信息安全管理制度》</w:t>
      </w:r>
    </w:p>
    <w:p w14:paraId="1700C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《业务连续性计划》</w:t>
      </w:r>
    </w:p>
    <w:p w14:paraId="13B49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《变更管理流程》</w:t>
      </w:r>
    </w:p>
    <w:p w14:paraId="03CBB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《问题管理流程》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65584">
    <w:pPr>
      <w:spacing w:line="169" w:lineRule="auto"/>
      <w:ind w:left="59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5"/>
        <w:sz w:val="18"/>
        <w:szCs w:val="18"/>
      </w:rPr>
      <w:t>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C5128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40B4C6"/>
    <w:multiLevelType w:val="singleLevel"/>
    <w:tmpl w:val="A940B4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4A858B"/>
    <w:multiLevelType w:val="singleLevel"/>
    <w:tmpl w:val="F94A85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EE40971"/>
    <w:multiLevelType w:val="singleLevel"/>
    <w:tmpl w:val="2EE409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D37DD11"/>
    <w:multiLevelType w:val="singleLevel"/>
    <w:tmpl w:val="4D37DD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4509EDD"/>
    <w:multiLevelType w:val="singleLevel"/>
    <w:tmpl w:val="54509E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5B190E1"/>
    <w:multiLevelType w:val="singleLevel"/>
    <w:tmpl w:val="55B190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107233"/>
    <w:rsid w:val="06C947A0"/>
    <w:rsid w:val="096E7494"/>
    <w:rsid w:val="116C6D9B"/>
    <w:rsid w:val="11E445AF"/>
    <w:rsid w:val="157F03D8"/>
    <w:rsid w:val="17800EAB"/>
    <w:rsid w:val="189310B2"/>
    <w:rsid w:val="19D92AF4"/>
    <w:rsid w:val="1BC9071B"/>
    <w:rsid w:val="1ECC70CB"/>
    <w:rsid w:val="1F86727A"/>
    <w:rsid w:val="21E3783F"/>
    <w:rsid w:val="24637B8A"/>
    <w:rsid w:val="28C72E59"/>
    <w:rsid w:val="2BD36B73"/>
    <w:rsid w:val="2C513B81"/>
    <w:rsid w:val="2DB07F1F"/>
    <w:rsid w:val="2F1D0383"/>
    <w:rsid w:val="309E73BC"/>
    <w:rsid w:val="385950D4"/>
    <w:rsid w:val="38FA77C4"/>
    <w:rsid w:val="3D6F39ED"/>
    <w:rsid w:val="408D4932"/>
    <w:rsid w:val="44483A52"/>
    <w:rsid w:val="445B23C3"/>
    <w:rsid w:val="44891B76"/>
    <w:rsid w:val="44F37FAB"/>
    <w:rsid w:val="45874631"/>
    <w:rsid w:val="4BFB49C8"/>
    <w:rsid w:val="4CA961D2"/>
    <w:rsid w:val="4D317F76"/>
    <w:rsid w:val="50C54C4A"/>
    <w:rsid w:val="51BD44CE"/>
    <w:rsid w:val="53874D93"/>
    <w:rsid w:val="575C4F23"/>
    <w:rsid w:val="590B3D71"/>
    <w:rsid w:val="5C7561BC"/>
    <w:rsid w:val="609A4358"/>
    <w:rsid w:val="60D3721E"/>
    <w:rsid w:val="622F00BF"/>
    <w:rsid w:val="63A4729C"/>
    <w:rsid w:val="66456B14"/>
    <w:rsid w:val="66FC1211"/>
    <w:rsid w:val="672D3C39"/>
    <w:rsid w:val="67620061"/>
    <w:rsid w:val="6FAF14A2"/>
    <w:rsid w:val="71C8684B"/>
    <w:rsid w:val="72D66D46"/>
    <w:rsid w:val="75994786"/>
    <w:rsid w:val="7A484FEC"/>
    <w:rsid w:val="7E7F5957"/>
    <w:rsid w:val="7F08472B"/>
    <w:rsid w:val="7F9D1317"/>
    <w:rsid w:val="7FCA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6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 w:firstLineChars="200"/>
    </w:p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styleId="25">
    <w:name w:val="No Spacing"/>
    <w:qFormat/>
    <w:uiPriority w:val="99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6">
    <w:name w:val="标题 2 Char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27">
    <w:name w:val="Table Paragraph"/>
    <w:basedOn w:val="1"/>
    <w:qFormat/>
    <w:uiPriority w:val="1"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标题 1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31">
    <w:name w:val="柴_标题1"/>
    <w:basedOn w:val="2"/>
    <w:next w:val="32"/>
    <w:link w:val="44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3"/>
    <w:link w:val="47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7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3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Compact"/>
    <w:basedOn w:val="13"/>
    <w:qFormat/>
    <w:uiPriority w:val="0"/>
    <w:pPr>
      <w:spacing w:before="36" w:after="36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4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5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6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7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4057</Words>
  <Characters>4382</Characters>
  <Lines>0</Lines>
  <Paragraphs>0</Paragraphs>
  <TotalTime>1</TotalTime>
  <ScaleCrop>false</ScaleCrop>
  <LinksUpToDate>false</LinksUpToDate>
  <CharactersWithSpaces>5011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2025-08-03T15:18:00Z</dcterms:created>
  <dc:creator>18442</dc:creator>
  <cp:lastModifiedBy>郝宇</cp:lastModifiedBy>
  <dcterms:modified xsi:type="dcterms:W3CDTF">2026-01-08T16:39:55Z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