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6D049">
      <w:pPr>
        <w:pStyle w:val="31"/>
        <w:keepNext w:val="0"/>
        <w:keepLines w:val="0"/>
        <w:pageBreakBefore w:val="0"/>
        <w:widowControl w:val="0"/>
        <w:wordWrap/>
        <w:overflowPunct/>
        <w:topLinePunct w:val="0"/>
        <w:autoSpaceDE w:val="0"/>
        <w:autoSpaceDN w:val="0"/>
        <w:bidi w:val="0"/>
      </w:pPr>
    </w:p>
    <w:p w14:paraId="67E54DF3">
      <w:pPr>
        <w:pStyle w:val="31"/>
        <w:keepNext w:val="0"/>
        <w:keepLines w:val="0"/>
        <w:pageBreakBefore w:val="0"/>
        <w:widowControl w:val="0"/>
        <w:wordWrap/>
        <w:overflowPunct/>
        <w:topLinePunct w:val="0"/>
        <w:autoSpaceDE w:val="0"/>
        <w:autoSpaceDN w:val="0"/>
        <w:bidi w:val="0"/>
      </w:pPr>
      <w:bookmarkStart w:id="0" w:name="_Toc11926"/>
      <w:r>
        <w:t>运维服务质量管理报告</w:t>
      </w:r>
      <w:bookmarkEnd w:id="0"/>
    </w:p>
    <w:p w14:paraId="0C7DF43C">
      <w:pPr>
        <w:pStyle w:val="32"/>
        <w:keepNext w:val="0"/>
        <w:keepLines w:val="0"/>
        <w:pageBreakBefore w:val="0"/>
        <w:widowControl w:val="0"/>
        <w:wordWrap/>
        <w:overflowPunct/>
        <w:topLinePunct w:val="0"/>
        <w:autoSpaceDE w:val="0"/>
        <w:autoSpaceDN w:val="0"/>
        <w:bidi w:val="0"/>
      </w:pPr>
      <w:bookmarkStart w:id="1" w:name="_Toc11395"/>
      <w:r>
        <w:t>甘肃国邦信息科技有限公司</w:t>
      </w:r>
      <w:bookmarkEnd w:id="1"/>
    </w:p>
    <w:p w14:paraId="74FE81B3">
      <w:pPr>
        <w:keepNext w:val="0"/>
        <w:keepLines w:val="0"/>
        <w:pageBreakBefore w:val="0"/>
        <w:widowControl w:val="0"/>
        <w:wordWrap/>
        <w:overflowPunct/>
        <w:topLinePunct w:val="0"/>
        <w:autoSpaceDE w:val="0"/>
        <w:autoSpaceDN w:val="0"/>
        <w:bidi w:val="0"/>
        <w:spacing w:before="295" w:line="220" w:lineRule="auto"/>
        <w:ind w:left="3019"/>
        <w:rPr>
          <w:rFonts w:ascii="宋体" w:hAnsi="宋体" w:eastAsia="宋体" w:cs="宋体"/>
          <w:sz w:val="30"/>
          <w:szCs w:val="30"/>
        </w:rPr>
      </w:pPr>
      <w:r>
        <w:rPr>
          <w:rFonts w:ascii="宋体" w:hAnsi="宋体" w:eastAsia="宋体" w:cs="宋体"/>
          <w:spacing w:val="-9"/>
          <w:sz w:val="30"/>
          <w:szCs w:val="30"/>
        </w:rPr>
        <w:t>2025年</w:t>
      </w:r>
      <w:r>
        <w:rPr>
          <w:rFonts w:hint="eastAsia" w:ascii="宋体" w:hAnsi="宋体" w:eastAsia="宋体" w:cs="宋体"/>
          <w:spacing w:val="-9"/>
          <w:sz w:val="30"/>
          <w:szCs w:val="30"/>
          <w:lang w:val="en-US" w:eastAsia="zh-CN"/>
        </w:rPr>
        <w:t>10</w:t>
      </w:r>
      <w:r>
        <w:rPr>
          <w:rFonts w:ascii="宋体" w:hAnsi="宋体" w:eastAsia="宋体" w:cs="宋体"/>
          <w:spacing w:val="-9"/>
          <w:sz w:val="30"/>
          <w:szCs w:val="30"/>
        </w:rPr>
        <w:t>月</w:t>
      </w:r>
      <w:r>
        <w:rPr>
          <w:rFonts w:hint="eastAsia" w:ascii="宋体" w:hAnsi="宋体" w:eastAsia="宋体" w:cs="宋体"/>
          <w:spacing w:val="-9"/>
          <w:sz w:val="30"/>
          <w:szCs w:val="30"/>
          <w:lang w:val="en-US" w:eastAsia="zh-CN"/>
        </w:rPr>
        <w:t>28</w:t>
      </w:r>
      <w:r>
        <w:rPr>
          <w:rFonts w:ascii="宋体" w:hAnsi="宋体" w:eastAsia="宋体" w:cs="宋体"/>
          <w:spacing w:val="-9"/>
          <w:sz w:val="30"/>
          <w:szCs w:val="30"/>
        </w:rPr>
        <w:t>日</w:t>
      </w:r>
    </w:p>
    <w:p w14:paraId="6EC24F98">
      <w:pPr>
        <w:keepNext w:val="0"/>
        <w:keepLines w:val="0"/>
        <w:pageBreakBefore w:val="0"/>
        <w:widowControl w:val="0"/>
        <w:wordWrap/>
        <w:overflowPunct/>
        <w:topLinePunct w:val="0"/>
        <w:autoSpaceDE w:val="0"/>
        <w:autoSpaceDN w:val="0"/>
        <w:bidi w:val="0"/>
        <w:spacing w:line="220" w:lineRule="auto"/>
        <w:rPr>
          <w:rFonts w:ascii="宋体" w:hAnsi="宋体" w:eastAsia="宋体" w:cs="宋体"/>
          <w:sz w:val="30"/>
          <w:szCs w:val="30"/>
        </w:rPr>
        <w:sectPr>
          <w:pgSz w:w="11906" w:h="16839"/>
          <w:pgMar w:top="1431" w:right="1785" w:bottom="0" w:left="1785" w:header="0" w:footer="0" w:gutter="0"/>
          <w:cols w:space="720" w:num="1"/>
        </w:sectPr>
      </w:pPr>
    </w:p>
    <w:p w14:paraId="56FB9593">
      <w:pPr>
        <w:keepNext w:val="0"/>
        <w:keepLines w:val="0"/>
        <w:pageBreakBefore w:val="0"/>
        <w:widowControl w:val="0"/>
        <w:wordWrap/>
        <w:overflowPunct/>
        <w:topLinePunct w:val="0"/>
        <w:autoSpaceDE w:val="0"/>
        <w:autoSpaceDN w:val="0"/>
        <w:bidi w:val="0"/>
        <w:spacing w:before="91" w:line="220" w:lineRule="auto"/>
        <w:ind w:left="3710"/>
        <w:outlineLvl w:val="0"/>
        <w:rPr>
          <w:rFonts w:ascii="宋体" w:hAnsi="宋体" w:eastAsia="宋体" w:cs="宋体"/>
          <w:sz w:val="28"/>
          <w:szCs w:val="28"/>
        </w:rPr>
      </w:pPr>
      <w:bookmarkStart w:id="2" w:name="_Toc5468"/>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6B95E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60A578C">
            <w:pPr>
              <w:pStyle w:val="25"/>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14:paraId="5258EC0A">
            <w:pPr>
              <w:pStyle w:val="25"/>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运维服务质量管理报告（GSGB</w:t>
            </w:r>
            <w:r>
              <w:rPr>
                <w:spacing w:val="-2"/>
              </w:rPr>
              <w:t>-ITSS-ZLGLBG）</w:t>
            </w:r>
          </w:p>
        </w:tc>
      </w:tr>
      <w:tr w14:paraId="13E0B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0CF387E">
            <w:pPr>
              <w:pStyle w:val="25"/>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14:paraId="78E39961">
            <w:pPr>
              <w:pStyle w:val="25"/>
              <w:keepNext w:val="0"/>
              <w:keepLines w:val="0"/>
              <w:pageBreakBefore w:val="0"/>
              <w:widowControl w:val="0"/>
              <w:wordWrap/>
              <w:overflowPunct/>
              <w:topLinePunct w:val="0"/>
              <w:autoSpaceDE w:val="0"/>
              <w:autoSpaceDN w:val="0"/>
              <w:bidi w:val="0"/>
              <w:spacing w:before="182" w:line="219" w:lineRule="auto"/>
              <w:ind w:left="109"/>
            </w:pPr>
            <w:r>
              <w:rPr>
                <w:spacing w:val="-1"/>
              </w:rPr>
              <w:t>甘肃国邦信息科技有限公司</w:t>
            </w:r>
          </w:p>
        </w:tc>
      </w:tr>
      <w:tr w14:paraId="18B568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7015CC64">
            <w:pPr>
              <w:pStyle w:val="25"/>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14:paraId="02A59F82">
            <w:pPr>
              <w:pStyle w:val="25"/>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14:paraId="1C65092D">
            <w:pPr>
              <w:pStyle w:val="25"/>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14:paraId="6C0D8DFD">
            <w:pPr>
              <w:pStyle w:val="25"/>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14:paraId="6C891CA9">
            <w:pPr>
              <w:pStyle w:val="25"/>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14:paraId="3E6F10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4CBC903">
            <w:pPr>
              <w:pStyle w:val="25"/>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14:paraId="6E383767">
            <w:pPr>
              <w:pStyle w:val="25"/>
              <w:keepNext w:val="0"/>
              <w:keepLines w:val="0"/>
              <w:pageBreakBefore w:val="0"/>
              <w:widowControl w:val="0"/>
              <w:wordWrap/>
              <w:overflowPunct/>
              <w:topLinePunct w:val="0"/>
              <w:autoSpaceDE w:val="0"/>
              <w:autoSpaceDN w:val="0"/>
              <w:bidi w:val="0"/>
              <w:spacing w:before="154" w:line="238" w:lineRule="auto"/>
              <w:ind w:left="231"/>
              <w:rPr>
                <w:rFonts w:hint="eastAsia" w:eastAsia="宋体"/>
                <w:lang w:val="en-US" w:eastAsia="zh-CN"/>
              </w:rPr>
            </w:pPr>
            <w:r>
              <w:rPr>
                <w:spacing w:val="-2"/>
              </w:rPr>
              <w:t>2025-</w:t>
            </w:r>
            <w:r>
              <w:rPr>
                <w:rFonts w:hint="eastAsia"/>
                <w:spacing w:val="-2"/>
                <w:lang w:val="en-US" w:eastAsia="zh-CN"/>
              </w:rPr>
              <w:t>10</w:t>
            </w:r>
            <w:r>
              <w:rPr>
                <w:spacing w:val="-2"/>
              </w:rPr>
              <w:t>-2</w:t>
            </w:r>
            <w:r>
              <w:rPr>
                <w:rFonts w:hint="eastAsia"/>
                <w:spacing w:val="-2"/>
                <w:lang w:val="en-US" w:eastAsia="zh-CN"/>
              </w:rPr>
              <w:t>8</w:t>
            </w:r>
          </w:p>
        </w:tc>
        <w:tc>
          <w:tcPr>
            <w:tcW w:w="2303" w:type="dxa"/>
          </w:tcPr>
          <w:p w14:paraId="2981EC41">
            <w:pPr>
              <w:pStyle w:val="25"/>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14:paraId="3C1A09BD">
            <w:pPr>
              <w:pStyle w:val="25"/>
              <w:keepNext w:val="0"/>
              <w:keepLines w:val="0"/>
              <w:pageBreakBefore w:val="0"/>
              <w:widowControl w:val="0"/>
              <w:wordWrap/>
              <w:overflowPunct/>
              <w:topLinePunct w:val="0"/>
              <w:autoSpaceDE w:val="0"/>
              <w:autoSpaceDN w:val="0"/>
              <w:bidi w:val="0"/>
              <w:spacing w:before="119" w:line="220" w:lineRule="auto"/>
              <w:ind w:left="426"/>
              <w:rPr>
                <w:rFonts w:hint="eastAsia" w:eastAsia="宋体"/>
                <w:lang w:val="en-US" w:eastAsia="zh-CN"/>
              </w:rPr>
            </w:pPr>
            <w:r>
              <w:rPr>
                <w:rFonts w:hint="eastAsia"/>
                <w:lang w:val="en-US" w:eastAsia="zh-CN"/>
              </w:rPr>
              <w:t>金文莉</w:t>
            </w:r>
          </w:p>
        </w:tc>
        <w:tc>
          <w:tcPr>
            <w:tcW w:w="1953" w:type="dxa"/>
          </w:tcPr>
          <w:p w14:paraId="5E03C889">
            <w:pPr>
              <w:pStyle w:val="25"/>
              <w:keepNext w:val="0"/>
              <w:keepLines w:val="0"/>
              <w:pageBreakBefore w:val="0"/>
              <w:widowControl w:val="0"/>
              <w:wordWrap/>
              <w:overflowPunct/>
              <w:topLinePunct w:val="0"/>
              <w:autoSpaceDE w:val="0"/>
              <w:autoSpaceDN w:val="0"/>
              <w:bidi w:val="0"/>
              <w:spacing w:before="119" w:line="220" w:lineRule="auto"/>
              <w:ind w:left="628"/>
            </w:pPr>
            <w:r>
              <w:rPr>
                <w:spacing w:val="-4"/>
              </w:rPr>
              <w:t>黄益溪</w:t>
            </w:r>
          </w:p>
        </w:tc>
      </w:tr>
      <w:tr w14:paraId="727666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2ABB08B">
            <w:pPr>
              <w:keepNext w:val="0"/>
              <w:keepLines w:val="0"/>
              <w:pageBreakBefore w:val="0"/>
              <w:widowControl w:val="0"/>
              <w:wordWrap/>
              <w:overflowPunct/>
              <w:topLinePunct w:val="0"/>
              <w:autoSpaceDE w:val="0"/>
              <w:autoSpaceDN w:val="0"/>
              <w:bidi w:val="0"/>
              <w:rPr>
                <w:rFonts w:ascii="Arial"/>
                <w:sz w:val="21"/>
              </w:rPr>
            </w:pPr>
          </w:p>
        </w:tc>
        <w:tc>
          <w:tcPr>
            <w:tcW w:w="1413" w:type="dxa"/>
          </w:tcPr>
          <w:p w14:paraId="06967D6D">
            <w:pPr>
              <w:keepNext w:val="0"/>
              <w:keepLines w:val="0"/>
              <w:pageBreakBefore w:val="0"/>
              <w:widowControl w:val="0"/>
              <w:wordWrap/>
              <w:overflowPunct/>
              <w:topLinePunct w:val="0"/>
              <w:autoSpaceDE w:val="0"/>
              <w:autoSpaceDN w:val="0"/>
              <w:bidi w:val="0"/>
              <w:rPr>
                <w:rFonts w:ascii="Arial"/>
                <w:sz w:val="21"/>
              </w:rPr>
            </w:pPr>
          </w:p>
        </w:tc>
        <w:tc>
          <w:tcPr>
            <w:tcW w:w="2303" w:type="dxa"/>
          </w:tcPr>
          <w:p w14:paraId="1929253E">
            <w:pPr>
              <w:keepNext w:val="0"/>
              <w:keepLines w:val="0"/>
              <w:pageBreakBefore w:val="0"/>
              <w:widowControl w:val="0"/>
              <w:wordWrap/>
              <w:overflowPunct/>
              <w:topLinePunct w:val="0"/>
              <w:autoSpaceDE w:val="0"/>
              <w:autoSpaceDN w:val="0"/>
              <w:bidi w:val="0"/>
              <w:rPr>
                <w:rFonts w:ascii="Arial"/>
                <w:sz w:val="21"/>
              </w:rPr>
            </w:pPr>
          </w:p>
        </w:tc>
        <w:tc>
          <w:tcPr>
            <w:tcW w:w="1557" w:type="dxa"/>
          </w:tcPr>
          <w:p w14:paraId="3EA0DDB4">
            <w:pPr>
              <w:keepNext w:val="0"/>
              <w:keepLines w:val="0"/>
              <w:pageBreakBefore w:val="0"/>
              <w:widowControl w:val="0"/>
              <w:wordWrap/>
              <w:overflowPunct/>
              <w:topLinePunct w:val="0"/>
              <w:autoSpaceDE w:val="0"/>
              <w:autoSpaceDN w:val="0"/>
              <w:bidi w:val="0"/>
              <w:rPr>
                <w:rFonts w:ascii="Arial"/>
                <w:sz w:val="21"/>
              </w:rPr>
            </w:pPr>
          </w:p>
        </w:tc>
        <w:tc>
          <w:tcPr>
            <w:tcW w:w="1953" w:type="dxa"/>
          </w:tcPr>
          <w:p w14:paraId="1EE8F8F1">
            <w:pPr>
              <w:keepNext w:val="0"/>
              <w:keepLines w:val="0"/>
              <w:pageBreakBefore w:val="0"/>
              <w:widowControl w:val="0"/>
              <w:wordWrap/>
              <w:overflowPunct/>
              <w:topLinePunct w:val="0"/>
              <w:autoSpaceDE w:val="0"/>
              <w:autoSpaceDN w:val="0"/>
              <w:bidi w:val="0"/>
              <w:rPr>
                <w:rFonts w:ascii="Arial"/>
                <w:sz w:val="21"/>
              </w:rPr>
            </w:pPr>
          </w:p>
        </w:tc>
      </w:tr>
      <w:tr w14:paraId="31E13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E7F9041">
            <w:pPr>
              <w:keepNext w:val="0"/>
              <w:keepLines w:val="0"/>
              <w:pageBreakBefore w:val="0"/>
              <w:widowControl w:val="0"/>
              <w:wordWrap/>
              <w:overflowPunct/>
              <w:topLinePunct w:val="0"/>
              <w:autoSpaceDE w:val="0"/>
              <w:autoSpaceDN w:val="0"/>
              <w:bidi w:val="0"/>
              <w:rPr>
                <w:rFonts w:ascii="Arial"/>
                <w:sz w:val="21"/>
              </w:rPr>
            </w:pPr>
          </w:p>
        </w:tc>
        <w:tc>
          <w:tcPr>
            <w:tcW w:w="1413" w:type="dxa"/>
          </w:tcPr>
          <w:p w14:paraId="709A2C67">
            <w:pPr>
              <w:keepNext w:val="0"/>
              <w:keepLines w:val="0"/>
              <w:pageBreakBefore w:val="0"/>
              <w:widowControl w:val="0"/>
              <w:wordWrap/>
              <w:overflowPunct/>
              <w:topLinePunct w:val="0"/>
              <w:autoSpaceDE w:val="0"/>
              <w:autoSpaceDN w:val="0"/>
              <w:bidi w:val="0"/>
              <w:rPr>
                <w:rFonts w:ascii="Arial"/>
                <w:sz w:val="21"/>
              </w:rPr>
            </w:pPr>
          </w:p>
        </w:tc>
        <w:tc>
          <w:tcPr>
            <w:tcW w:w="2303" w:type="dxa"/>
          </w:tcPr>
          <w:p w14:paraId="7A972658">
            <w:pPr>
              <w:keepNext w:val="0"/>
              <w:keepLines w:val="0"/>
              <w:pageBreakBefore w:val="0"/>
              <w:widowControl w:val="0"/>
              <w:wordWrap/>
              <w:overflowPunct/>
              <w:topLinePunct w:val="0"/>
              <w:autoSpaceDE w:val="0"/>
              <w:autoSpaceDN w:val="0"/>
              <w:bidi w:val="0"/>
              <w:rPr>
                <w:rFonts w:ascii="Arial"/>
                <w:sz w:val="21"/>
              </w:rPr>
            </w:pPr>
          </w:p>
        </w:tc>
        <w:tc>
          <w:tcPr>
            <w:tcW w:w="1557" w:type="dxa"/>
          </w:tcPr>
          <w:p w14:paraId="5DF6D3DB">
            <w:pPr>
              <w:keepNext w:val="0"/>
              <w:keepLines w:val="0"/>
              <w:pageBreakBefore w:val="0"/>
              <w:widowControl w:val="0"/>
              <w:wordWrap/>
              <w:overflowPunct/>
              <w:topLinePunct w:val="0"/>
              <w:autoSpaceDE w:val="0"/>
              <w:autoSpaceDN w:val="0"/>
              <w:bidi w:val="0"/>
              <w:rPr>
                <w:rFonts w:ascii="Arial"/>
                <w:sz w:val="21"/>
              </w:rPr>
            </w:pPr>
          </w:p>
        </w:tc>
        <w:tc>
          <w:tcPr>
            <w:tcW w:w="1953" w:type="dxa"/>
          </w:tcPr>
          <w:p w14:paraId="21A270B9">
            <w:pPr>
              <w:keepNext w:val="0"/>
              <w:keepLines w:val="0"/>
              <w:pageBreakBefore w:val="0"/>
              <w:widowControl w:val="0"/>
              <w:wordWrap/>
              <w:overflowPunct/>
              <w:topLinePunct w:val="0"/>
              <w:autoSpaceDE w:val="0"/>
              <w:autoSpaceDN w:val="0"/>
              <w:bidi w:val="0"/>
              <w:rPr>
                <w:rFonts w:ascii="Arial"/>
                <w:sz w:val="21"/>
              </w:rPr>
            </w:pPr>
          </w:p>
        </w:tc>
      </w:tr>
    </w:tbl>
    <w:p w14:paraId="03E7A691">
      <w:pPr>
        <w:pStyle w:val="12"/>
        <w:keepNext w:val="0"/>
        <w:keepLines w:val="0"/>
        <w:pageBreakBefore w:val="0"/>
        <w:widowControl w:val="0"/>
        <w:wordWrap/>
        <w:overflowPunct/>
        <w:topLinePunct w:val="0"/>
        <w:autoSpaceDE w:val="0"/>
        <w:autoSpaceDN w:val="0"/>
        <w:bidi w:val="0"/>
      </w:pPr>
    </w:p>
    <w:p w14:paraId="7CDB24C6">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6429"/>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A76A635">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7451C19E">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_Toc11926 </w:instrText>
          </w:r>
          <w:r>
            <w:rPr>
              <w:rFonts w:hint="eastAsia" w:ascii="Microsoft JhengHei" w:hAnsi="Microsoft JhengHei" w:eastAsia="Microsoft JhengHei" w:cs="Microsoft JhengHei"/>
              <w:szCs w:val="24"/>
            </w:rPr>
            <w:fldChar w:fldCharType="separate"/>
          </w:r>
          <w:r>
            <w:t>运维服务质量管理报告</w:t>
          </w:r>
          <w:r>
            <w:tab/>
          </w:r>
          <w:r>
            <w:fldChar w:fldCharType="begin"/>
          </w:r>
          <w:r>
            <w:instrText xml:space="preserve"> PAGEREF _Toc11926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6743CD9">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_Toc11395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_Toc11395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DFF7B95">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_Toc5468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_Toc5468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6DA05CA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_Toc19042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_Toc19042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9DEAAB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_Toc22088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_Toc22088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CB40DA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_Toc1183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_Toc1183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AD3328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_Toc19124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_Toc19124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8AA0605">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_Toc28573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_Toc28573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451F18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_Toc7191 </w:instrText>
          </w:r>
          <w:r>
            <w:rPr>
              <w:rFonts w:hint="eastAsia" w:ascii="Microsoft JhengHei" w:hAnsi="Microsoft JhengHei" w:eastAsia="Microsoft JhengHei" w:cs="Microsoft JhengHei"/>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_Toc7191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3DA7C9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_Toc757 </w:instrText>
          </w:r>
          <w:r>
            <w:rPr>
              <w:rFonts w:hint="eastAsia" w:ascii="Microsoft JhengHei" w:hAnsi="Microsoft JhengHei" w:eastAsia="Microsoft JhengHei" w:cs="Microsoft JhengHei"/>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_Toc757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7F3C4C6">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_Toc4009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_Toc4009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FB76AD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_Toc21270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_Toc21270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B343F9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_Toc994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_Toc994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61C2170">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_Toc6456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_Toc6456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E6F2976">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_Toc22325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_Toc22325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EE96298">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_Toc948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_Toc948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897D67B">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_Toc27007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_Toc27007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C0DB4E5">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_Toc23095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_Toc23095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99A25D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_Toc13815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_Toc13815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C7CFC0D">
          <w:pPr>
            <w:keepNext w:val="0"/>
            <w:keepLines w:val="0"/>
            <w:pageBreakBefore w:val="0"/>
            <w:widowControl w:val="0"/>
            <w:wordWrap/>
            <w:overflowPunct/>
            <w:topLinePunct w:val="0"/>
            <w:autoSpaceDE w:val="0"/>
            <w:autoSpaceDN w:val="0"/>
            <w:bidi w:val="0"/>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8034D67">
      <w:pPr>
        <w:keepNext w:val="0"/>
        <w:keepLines w:val="0"/>
        <w:pageBreakBefore w:val="0"/>
        <w:widowControl w:val="0"/>
        <w:wordWrap/>
        <w:overflowPunct/>
        <w:topLinePunct w:val="0"/>
        <w:autoSpaceDE w:val="0"/>
        <w:autoSpaceDN w:val="0"/>
        <w:bidi w:val="0"/>
        <w:spacing w:line="220"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2CC3907E">
      <w:pPr>
        <w:pStyle w:val="26"/>
        <w:keepNext w:val="0"/>
        <w:keepLines w:val="0"/>
        <w:pageBreakBefore w:val="0"/>
        <w:widowControl w:val="0"/>
        <w:wordWrap/>
        <w:overflowPunct/>
        <w:topLinePunct w:val="0"/>
        <w:autoSpaceDE w:val="0"/>
        <w:autoSpaceDN w:val="0"/>
        <w:bidi w:val="0"/>
      </w:pPr>
      <w:bookmarkStart w:id="3" w:name="_Toc19042"/>
      <w:r>
        <w:t>目的</w:t>
      </w:r>
      <w:bookmarkEnd w:id="3"/>
    </w:p>
    <w:p w14:paraId="22A7BF83">
      <w:pPr>
        <w:pStyle w:val="27"/>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14:paraId="6DA74658">
      <w:pPr>
        <w:pStyle w:val="26"/>
        <w:keepNext w:val="0"/>
        <w:keepLines w:val="0"/>
        <w:pageBreakBefore w:val="0"/>
        <w:widowControl w:val="0"/>
        <w:wordWrap/>
        <w:overflowPunct/>
        <w:topLinePunct w:val="0"/>
        <w:autoSpaceDE w:val="0"/>
        <w:autoSpaceDN w:val="0"/>
        <w:bidi w:val="0"/>
      </w:pPr>
      <w:bookmarkStart w:id="4" w:name="_Toc22088"/>
      <w:r>
        <w:t>适用范围</w:t>
      </w:r>
      <w:bookmarkEnd w:id="4"/>
    </w:p>
    <w:p w14:paraId="3D94145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340629CA">
      <w:pPr>
        <w:pStyle w:val="26"/>
        <w:keepNext w:val="0"/>
        <w:keepLines w:val="0"/>
        <w:pageBreakBefore w:val="0"/>
        <w:widowControl w:val="0"/>
        <w:wordWrap/>
        <w:overflowPunct/>
        <w:topLinePunct w:val="0"/>
        <w:autoSpaceDE w:val="0"/>
        <w:autoSpaceDN w:val="0"/>
        <w:bidi w:val="0"/>
      </w:pPr>
      <w:bookmarkStart w:id="5" w:name="_Toc1183"/>
      <w:r>
        <w:t>引用文件</w:t>
      </w:r>
      <w:bookmarkEnd w:id="5"/>
    </w:p>
    <w:p w14:paraId="0A3EB47F">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269FBA0F">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45097AE">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093CA197">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495E911F">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3CB6320B">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44EC936B">
      <w:pPr>
        <w:pStyle w:val="26"/>
        <w:keepNext w:val="0"/>
        <w:keepLines w:val="0"/>
        <w:pageBreakBefore w:val="0"/>
        <w:widowControl w:val="0"/>
        <w:wordWrap/>
        <w:overflowPunct/>
        <w:topLinePunct w:val="0"/>
        <w:autoSpaceDE w:val="0"/>
        <w:autoSpaceDN w:val="0"/>
        <w:bidi w:val="0"/>
      </w:pPr>
      <w:bookmarkStart w:id="6" w:name="_Toc19124"/>
      <w:r>
        <w:t>术语与定义</w:t>
      </w:r>
      <w:bookmarkEnd w:id="6"/>
    </w:p>
    <w:p w14:paraId="30244876">
      <w:pPr>
        <w:keepNext w:val="0"/>
        <w:keepLines w:val="0"/>
        <w:pageBreakBefore w:val="0"/>
        <w:widowControl w:val="0"/>
        <w:wordWrap/>
        <w:overflowPunct/>
        <w:topLinePunct w:val="0"/>
        <w:autoSpaceDE w:val="0"/>
        <w:autoSpaceDN w:val="0"/>
        <w:bidi w:val="0"/>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20DCA438">
      <w:pPr>
        <w:pStyle w:val="26"/>
        <w:keepNext w:val="0"/>
        <w:keepLines w:val="0"/>
        <w:pageBreakBefore w:val="0"/>
        <w:widowControl w:val="0"/>
        <w:wordWrap/>
        <w:overflowPunct/>
        <w:topLinePunct w:val="0"/>
        <w:autoSpaceDE w:val="0"/>
        <w:autoSpaceDN w:val="0"/>
        <w:bidi w:val="0"/>
      </w:pPr>
      <w:bookmarkStart w:id="7" w:name="_Toc28573"/>
      <w:r>
        <w:t>角色与职责</w:t>
      </w:r>
      <w:bookmarkEnd w:id="7"/>
    </w:p>
    <w:p w14:paraId="27BC766B">
      <w:pPr>
        <w:keepNext w:val="0"/>
        <w:keepLines w:val="0"/>
        <w:pageBreakBefore w:val="0"/>
        <w:widowControl w:val="0"/>
        <w:wordWrap/>
        <w:overflowPunct/>
        <w:topLinePunct w:val="0"/>
        <w:autoSpaceDE w:val="0"/>
        <w:autoSpaceDN w:val="0"/>
        <w:bidi w:val="0"/>
        <w:spacing w:line="76" w:lineRule="exact"/>
      </w:pPr>
    </w:p>
    <w:p w14:paraId="5449218A">
      <w:pPr>
        <w:pStyle w:val="28"/>
        <w:bidi w:val="0"/>
        <w:rPr>
          <w:rFonts w:hint="eastAsia"/>
          <w:lang w:val="en-US" w:eastAsia="zh-CN"/>
        </w:rPr>
      </w:pPr>
      <w:bookmarkStart w:id="8" w:name="_Toc7191"/>
      <w:r>
        <w:rPr>
          <w:rFonts w:hint="eastAsia"/>
          <w:lang w:val="en-US" w:eastAsia="zh-CN"/>
        </w:rPr>
        <w:t>质量部</w:t>
      </w:r>
      <w:bookmarkEnd w:id="8"/>
    </w:p>
    <w:p w14:paraId="490975E7">
      <w:pPr>
        <w:pStyle w:val="27"/>
        <w:numPr>
          <w:ilvl w:val="0"/>
          <w:numId w:val="2"/>
        </w:numPr>
        <w:ind w:left="425" w:leftChars="0" w:hanging="425" w:firstLineChars="0"/>
        <w:rPr>
          <w:rFonts w:hint="eastAsia"/>
          <w:lang w:val="en-US" w:eastAsia="zh-CN"/>
        </w:rPr>
      </w:pPr>
      <w:r>
        <w:rPr>
          <w:rFonts w:hint="eastAsia"/>
          <w:lang w:val="en-US" w:eastAsia="zh-CN"/>
        </w:rPr>
        <w:t>负责公司级质量保证，制定并组织实施本服务质量管理计划。</w:t>
      </w:r>
    </w:p>
    <w:p w14:paraId="18BB0C6D">
      <w:pPr>
        <w:pStyle w:val="27"/>
        <w:numPr>
          <w:ilvl w:val="0"/>
          <w:numId w:val="2"/>
        </w:numPr>
        <w:ind w:left="425" w:leftChars="0" w:hanging="425" w:firstLineChars="0"/>
        <w:rPr>
          <w:rFonts w:hint="eastAsia"/>
          <w:lang w:val="en-US" w:eastAsia="zh-CN"/>
        </w:rPr>
      </w:pPr>
      <w:r>
        <w:rPr>
          <w:rFonts w:hint="eastAsia"/>
          <w:lang w:val="en-US" w:eastAsia="zh-CN"/>
        </w:rPr>
        <w:t>监控运维服务质量，定期（如每季度）组织质量分析会议，评估运维业务开展情况。</w:t>
      </w:r>
    </w:p>
    <w:p w14:paraId="22AE5B6F">
      <w:pPr>
        <w:pStyle w:val="27"/>
        <w:numPr>
          <w:ilvl w:val="0"/>
          <w:numId w:val="2"/>
        </w:numPr>
        <w:ind w:left="425" w:leftChars="0" w:hanging="425" w:firstLineChars="0"/>
        <w:rPr>
          <w:rFonts w:hint="eastAsia"/>
          <w:lang w:val="en-US" w:eastAsia="zh-CN"/>
        </w:rPr>
      </w:pPr>
      <w:r>
        <w:rPr>
          <w:rFonts w:hint="eastAsia"/>
          <w:lang w:val="en-US" w:eastAsia="zh-CN"/>
        </w:rPr>
        <w:t>负责策划并组织实施年度运维服务能力体系内部审核，跟踪验证不符合项的纠正措施。</w:t>
      </w:r>
    </w:p>
    <w:p w14:paraId="14DCCF4E">
      <w:pPr>
        <w:pStyle w:val="27"/>
        <w:numPr>
          <w:ilvl w:val="0"/>
          <w:numId w:val="2"/>
        </w:numPr>
        <w:ind w:left="425" w:leftChars="0" w:hanging="425" w:firstLineChars="0"/>
        <w:rPr>
          <w:rFonts w:hint="eastAsia"/>
          <w:lang w:val="en-US" w:eastAsia="zh-CN"/>
        </w:rPr>
      </w:pPr>
      <w:r>
        <w:rPr>
          <w:rFonts w:hint="eastAsia"/>
          <w:lang w:val="en-US" w:eastAsia="zh-CN"/>
        </w:rPr>
        <w:t>负责组织实施公司级客户满意度调查，并牵头进行结果分析。</w:t>
      </w:r>
    </w:p>
    <w:p w14:paraId="0CC97D5C">
      <w:pPr>
        <w:pStyle w:val="27"/>
        <w:numPr>
          <w:ilvl w:val="0"/>
          <w:numId w:val="2"/>
        </w:numPr>
        <w:ind w:left="425" w:leftChars="0" w:hanging="425" w:firstLineChars="0"/>
        <w:rPr>
          <w:rFonts w:hint="eastAsia"/>
          <w:lang w:val="en-US" w:eastAsia="zh-CN"/>
        </w:rPr>
      </w:pPr>
      <w:r>
        <w:rPr>
          <w:rFonts w:hint="eastAsia"/>
          <w:lang w:val="en-US" w:eastAsia="zh-CN"/>
        </w:rPr>
        <w:t>负责管理评审的筹备、组织及改进措施的跟踪验证。</w:t>
      </w:r>
    </w:p>
    <w:p w14:paraId="3BD2AE98">
      <w:pPr>
        <w:pStyle w:val="27"/>
        <w:numPr>
          <w:ilvl w:val="0"/>
          <w:numId w:val="2"/>
        </w:numPr>
        <w:ind w:left="425" w:leftChars="0" w:hanging="425" w:firstLineChars="0"/>
        <w:rPr>
          <w:rFonts w:hint="eastAsia"/>
          <w:lang w:val="en-US" w:eastAsia="zh-CN"/>
        </w:rPr>
      </w:pPr>
      <w:r>
        <w:rPr>
          <w:rFonts w:hint="eastAsia"/>
          <w:lang w:val="en-US" w:eastAsia="zh-CN"/>
        </w:rPr>
        <w:t>对重大客户投诉进行根本原因分析、处理协调与效果回访。</w:t>
      </w:r>
    </w:p>
    <w:p w14:paraId="5322DDDE">
      <w:pPr>
        <w:pStyle w:val="27"/>
        <w:numPr>
          <w:ilvl w:val="0"/>
          <w:numId w:val="2"/>
        </w:numPr>
        <w:ind w:left="425" w:leftChars="0" w:hanging="425" w:firstLineChars="0"/>
        <w:rPr>
          <w:rFonts w:hint="eastAsia"/>
          <w:lang w:val="en-US" w:eastAsia="zh-CN"/>
        </w:rPr>
      </w:pPr>
      <w:r>
        <w:rPr>
          <w:rFonts w:hint="eastAsia"/>
          <w:lang w:val="en-US" w:eastAsia="zh-CN"/>
        </w:rPr>
        <w:t>监督、检查各部门质量改进措施的实施情况。</w:t>
      </w:r>
    </w:p>
    <w:p w14:paraId="200A18A4">
      <w:pPr>
        <w:pStyle w:val="28"/>
        <w:bidi w:val="0"/>
        <w:rPr>
          <w:rFonts w:hint="eastAsia"/>
          <w:lang w:val="en-US" w:eastAsia="zh-CN"/>
        </w:rPr>
      </w:pPr>
      <w:bookmarkStart w:id="9" w:name="_Toc757"/>
      <w:r>
        <w:rPr>
          <w:rFonts w:hint="eastAsia"/>
          <w:lang w:val="en-US" w:eastAsia="zh-CN"/>
        </w:rPr>
        <w:t>运维部</w:t>
      </w:r>
      <w:bookmarkEnd w:id="9"/>
    </w:p>
    <w:p w14:paraId="3C58280C">
      <w:pPr>
        <w:pStyle w:val="27"/>
        <w:numPr>
          <w:ilvl w:val="0"/>
          <w:numId w:val="3"/>
        </w:numPr>
        <w:ind w:left="425" w:leftChars="0" w:hanging="425" w:firstLineChars="0"/>
        <w:rPr>
          <w:rFonts w:hint="eastAsia"/>
          <w:lang w:val="en-US" w:eastAsia="zh-CN"/>
        </w:rPr>
      </w:pPr>
      <w:r>
        <w:rPr>
          <w:rFonts w:hint="eastAsia"/>
          <w:lang w:val="en-US" w:eastAsia="zh-CN"/>
        </w:rPr>
        <w:t>负责所辖运维业务的具体质量控制，执行服务流程与规范。</w:t>
      </w:r>
    </w:p>
    <w:p w14:paraId="47F11206">
      <w:pPr>
        <w:pStyle w:val="27"/>
        <w:numPr>
          <w:ilvl w:val="0"/>
          <w:numId w:val="3"/>
        </w:numPr>
        <w:ind w:left="425" w:leftChars="0" w:hanging="425"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14:paraId="691E16D0">
      <w:pPr>
        <w:pStyle w:val="27"/>
        <w:numPr>
          <w:ilvl w:val="0"/>
          <w:numId w:val="3"/>
        </w:numPr>
        <w:ind w:left="425" w:leftChars="0" w:hanging="425" w:firstLineChars="0"/>
        <w:rPr>
          <w:rFonts w:hint="eastAsia"/>
          <w:lang w:val="en-US" w:eastAsia="zh-CN"/>
        </w:rPr>
      </w:pPr>
      <w:r>
        <w:rPr>
          <w:rFonts w:hint="eastAsia"/>
          <w:lang w:val="en-US" w:eastAsia="zh-CN"/>
        </w:rPr>
        <w:t>定期（如每月）召开部门质量分析会，审视服务过程与结果。</w:t>
      </w:r>
    </w:p>
    <w:p w14:paraId="77922194">
      <w:pPr>
        <w:pStyle w:val="27"/>
        <w:numPr>
          <w:ilvl w:val="0"/>
          <w:numId w:val="3"/>
        </w:numPr>
        <w:ind w:left="425" w:leftChars="0" w:hanging="425" w:firstLineChars="0"/>
        <w:rPr>
          <w:rFonts w:hint="eastAsia"/>
          <w:lang w:val="en-US" w:eastAsia="zh-CN"/>
        </w:rPr>
      </w:pPr>
      <w:r>
        <w:rPr>
          <w:rFonts w:hint="eastAsia"/>
          <w:lang w:val="en-US" w:eastAsia="zh-CN"/>
        </w:rPr>
        <w:t>负责监控服务请求/事件的处理过程与时效，并对已解决事件进行必要的客户回访。</w:t>
      </w:r>
    </w:p>
    <w:p w14:paraId="5E650641">
      <w:pPr>
        <w:pStyle w:val="27"/>
        <w:numPr>
          <w:ilvl w:val="0"/>
          <w:numId w:val="3"/>
        </w:numPr>
        <w:ind w:left="425" w:leftChars="0" w:hanging="425"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14:paraId="3C47401C">
      <w:pPr>
        <w:pStyle w:val="27"/>
        <w:numPr>
          <w:ilvl w:val="0"/>
          <w:numId w:val="3"/>
        </w:numPr>
        <w:ind w:left="425" w:leftChars="0" w:hanging="425" w:firstLineChars="0"/>
        <w:rPr>
          <w:rFonts w:hint="eastAsia"/>
          <w:lang w:val="en-US" w:eastAsia="zh-CN"/>
        </w:rPr>
      </w:pPr>
      <w:r>
        <w:rPr>
          <w:rFonts w:hint="eastAsia"/>
          <w:lang w:val="en-US" w:eastAsia="zh-CN"/>
        </w:rPr>
        <w:t>接收并初步处理客户投诉，及时向相关部门反馈重要信息。</w:t>
      </w:r>
    </w:p>
    <w:p w14:paraId="27988C69">
      <w:pPr>
        <w:pStyle w:val="27"/>
        <w:numPr>
          <w:ilvl w:val="0"/>
          <w:numId w:val="3"/>
        </w:numPr>
        <w:ind w:left="425" w:leftChars="0" w:hanging="425" w:firstLineChars="0"/>
        <w:rPr>
          <w:rFonts w:hint="eastAsia"/>
          <w:lang w:val="en-US" w:eastAsia="zh-CN"/>
        </w:rPr>
      </w:pPr>
      <w:r>
        <w:rPr>
          <w:rFonts w:hint="eastAsia"/>
          <w:lang w:val="en-US" w:eastAsia="zh-CN"/>
        </w:rPr>
        <w:t>定期编写运维服务总结报告，持续完善服务能力与质量。</w:t>
      </w:r>
    </w:p>
    <w:p w14:paraId="613D1BDA">
      <w:pPr>
        <w:pStyle w:val="28"/>
        <w:bidi w:val="0"/>
        <w:rPr>
          <w:rFonts w:hint="default"/>
          <w:lang w:val="en-US" w:eastAsia="zh-CN"/>
        </w:rPr>
      </w:pPr>
      <w:bookmarkStart w:id="10" w:name="_Toc4009"/>
      <w:r>
        <w:rPr>
          <w:rFonts w:hint="eastAsia"/>
          <w:lang w:val="en-US" w:eastAsia="zh-CN"/>
        </w:rPr>
        <w:t>其他运维部门</w:t>
      </w:r>
      <w:bookmarkEnd w:id="10"/>
    </w:p>
    <w:p w14:paraId="2B394E1D">
      <w:pPr>
        <w:pStyle w:val="27"/>
        <w:numPr>
          <w:ilvl w:val="0"/>
          <w:numId w:val="4"/>
        </w:numPr>
        <w:ind w:left="425" w:leftChars="0" w:hanging="425" w:firstLineChars="0"/>
        <w:rPr>
          <w:rFonts w:hint="default"/>
          <w:lang w:val="en-US" w:eastAsia="zh-CN"/>
        </w:rPr>
      </w:pPr>
      <w:r>
        <w:rPr>
          <w:rFonts w:hint="default"/>
          <w:lang w:val="en-US" w:eastAsia="zh-CN"/>
        </w:rPr>
        <w:t>参与能力管理计划及相关质量改进计划的制定。</w:t>
      </w:r>
    </w:p>
    <w:p w14:paraId="3D69B990">
      <w:pPr>
        <w:pStyle w:val="27"/>
        <w:numPr>
          <w:ilvl w:val="0"/>
          <w:numId w:val="4"/>
        </w:numPr>
        <w:ind w:left="425" w:leftChars="0" w:hanging="425"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14:paraId="2D665AF4">
      <w:pPr>
        <w:pStyle w:val="27"/>
        <w:numPr>
          <w:ilvl w:val="0"/>
          <w:numId w:val="4"/>
        </w:numPr>
        <w:ind w:left="425" w:leftChars="0" w:hanging="425" w:firstLineChars="0"/>
        <w:rPr>
          <w:rFonts w:hint="default"/>
          <w:lang w:val="en-US" w:eastAsia="zh-CN"/>
        </w:rPr>
      </w:pPr>
      <w:r>
        <w:rPr>
          <w:rFonts w:hint="default"/>
          <w:lang w:val="en-US" w:eastAsia="zh-CN"/>
        </w:rPr>
        <w:t>接受质量部的质量监督与检查，并按要求汇报计划实施情况。</w:t>
      </w:r>
    </w:p>
    <w:p w14:paraId="6B51D6F5">
      <w:pPr>
        <w:pStyle w:val="27"/>
        <w:numPr>
          <w:ilvl w:val="0"/>
          <w:numId w:val="4"/>
        </w:numPr>
        <w:ind w:left="425" w:leftChars="0" w:hanging="425" w:firstLineChars="0"/>
        <w:rPr>
          <w:rFonts w:hint="default"/>
          <w:lang w:val="en-US" w:eastAsia="zh-CN"/>
        </w:rPr>
      </w:pPr>
      <w:r>
        <w:rPr>
          <w:rFonts w:hint="default"/>
          <w:lang w:val="en-US" w:eastAsia="zh-CN"/>
        </w:rPr>
        <w:t>针对本部门在服务支撑过程中发现的问题，主动采取并落实改进措施。</w:t>
      </w:r>
    </w:p>
    <w:p w14:paraId="6BDAF1DD">
      <w:pPr>
        <w:pStyle w:val="26"/>
        <w:keepNext w:val="0"/>
        <w:keepLines w:val="0"/>
        <w:pageBreakBefore w:val="0"/>
        <w:widowControl w:val="0"/>
        <w:wordWrap/>
        <w:overflowPunct/>
        <w:topLinePunct w:val="0"/>
        <w:autoSpaceDE w:val="0"/>
        <w:autoSpaceDN w:val="0"/>
        <w:bidi w:val="0"/>
        <w:rPr>
          <w:rFonts w:hint="default"/>
          <w:lang w:val="en-US" w:eastAsia="zh-CN"/>
        </w:rPr>
      </w:pPr>
      <w:bookmarkStart w:id="11" w:name="_Toc21270"/>
      <w:r>
        <w:rPr>
          <w:rFonts w:hint="eastAsia"/>
          <w:lang w:val="en-US" w:eastAsia="zh-CN"/>
        </w:rPr>
        <w:t>服务质量活动管理</w:t>
      </w:r>
      <w:bookmarkEnd w:id="11"/>
    </w:p>
    <w:p w14:paraId="69A72685">
      <w:pPr>
        <w:pStyle w:val="27"/>
        <w:rPr>
          <w:rFonts w:hint="default"/>
          <w:lang w:val="en-US" w:eastAsia="zh-CN"/>
        </w:rPr>
      </w:pPr>
      <w:r>
        <w:rPr>
          <w:rFonts w:hint="default"/>
          <w:lang w:val="en-US" w:eastAsia="zh-CN"/>
        </w:rPr>
        <w:t>2025年度，公司严格按照《2025年运维服务质量管理计划》开展各项质量活动，体系运行平稳有效，服务质量目标基本达成。现将主要活动总结如下：</w:t>
      </w:r>
    </w:p>
    <w:p w14:paraId="5BA9FF86">
      <w:pPr>
        <w:pStyle w:val="28"/>
        <w:keepNext w:val="0"/>
        <w:keepLines w:val="0"/>
        <w:pageBreakBefore w:val="0"/>
        <w:widowControl w:val="0"/>
        <w:wordWrap/>
        <w:overflowPunct/>
        <w:topLinePunct w:val="0"/>
        <w:autoSpaceDE w:val="0"/>
        <w:autoSpaceDN w:val="0"/>
        <w:bidi w:val="0"/>
      </w:pPr>
      <w:bookmarkStart w:id="12" w:name="_Toc994"/>
      <w:r>
        <w:rPr>
          <w:rFonts w:hint="eastAsia"/>
          <w:lang w:val="en-US" w:eastAsia="zh-CN"/>
        </w:rPr>
        <w:t>内部评审</w:t>
      </w:r>
      <w:bookmarkEnd w:id="12"/>
    </w:p>
    <w:p w14:paraId="2DC7F39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公司准备在2025年</w:t>
      </w:r>
      <w:r>
        <w:rPr>
          <w:rFonts w:hint="eastAsia" w:ascii="宋体" w:hAnsi="宋体" w:cs="宋体"/>
          <w:sz w:val="24"/>
          <w:szCs w:val="24"/>
          <w:lang w:val="en-US" w:eastAsia="zh-CN"/>
        </w:rPr>
        <w:t>10</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评估工作，在2025年</w:t>
      </w:r>
      <w:r>
        <w:rPr>
          <w:rFonts w:hint="eastAsia" w:ascii="宋体" w:hAnsi="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5</w:t>
      </w:r>
      <w:r>
        <w:rPr>
          <w:rFonts w:ascii="宋体" w:hAnsi="宋体" w:eastAsia="宋体" w:cs="宋体"/>
          <w:sz w:val="24"/>
          <w:szCs w:val="24"/>
        </w:rPr>
        <w:t>日至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6</w:t>
      </w:r>
      <w:r>
        <w:rPr>
          <w:rFonts w:ascii="宋体" w:hAnsi="宋体" w:eastAsia="宋体" w:cs="宋体"/>
          <w:sz w:val="24"/>
          <w:szCs w:val="24"/>
        </w:rPr>
        <w:t>日举行了一次内审活动，涉及公司运维相关各部门。</w:t>
      </w:r>
    </w:p>
    <w:p w14:paraId="6FE515D8">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186E9C8B">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cs="宋体"/>
          <w:sz w:val="24"/>
          <w:szCs w:val="24"/>
          <w:lang w:val="en-US" w:eastAsia="zh-CN"/>
        </w:rPr>
        <w:t>内审过程中发现一项不符合，为一般不符合。</w:t>
      </w:r>
      <w:r>
        <w:rPr>
          <w:rFonts w:ascii="宋体" w:hAnsi="宋体" w:eastAsia="宋体" w:cs="宋体"/>
          <w:sz w:val="24"/>
          <w:szCs w:val="24"/>
        </w:rPr>
        <w:t>具体不符合项如下</w:t>
      </w:r>
      <w:r>
        <w:rPr>
          <w:rFonts w:hint="eastAsia" w:ascii="宋体" w:hAnsi="宋体" w:cs="宋体"/>
          <w:sz w:val="24"/>
          <w:szCs w:val="24"/>
          <w:lang w:eastAsia="zh-CN"/>
        </w:rPr>
        <w:t>：</w:t>
      </w:r>
      <w:r>
        <w:rPr>
          <w:rFonts w:ascii="宋体" w:hAnsi="宋体" w:eastAsia="宋体" w:cs="宋体"/>
          <w:sz w:val="24"/>
          <w:szCs w:val="24"/>
        </w:rPr>
        <w:t>知识库管理平台和知识库内容适宜性的评审记录未生成；不符合 7.</w:t>
      </w:r>
      <w:r>
        <w:rPr>
          <w:rFonts w:hint="eastAsia" w:ascii="宋体" w:hAnsi="宋体" w:eastAsia="宋体" w:cs="宋体"/>
          <w:sz w:val="24"/>
          <w:szCs w:val="24"/>
          <w:lang w:val="en-US" w:eastAsia="zh-CN"/>
        </w:rPr>
        <w:t>6.6</w:t>
      </w:r>
      <w:r>
        <w:rPr>
          <w:rFonts w:ascii="宋体" w:hAnsi="宋体" w:eastAsia="宋体" w:cs="宋体"/>
          <w:sz w:val="24"/>
          <w:szCs w:val="24"/>
        </w:rPr>
        <w:t xml:space="preserve"> </w:t>
      </w:r>
      <w:r>
        <w:rPr>
          <w:rFonts w:hint="eastAsia" w:ascii="宋体" w:hAnsi="宋体" w:eastAsia="宋体" w:cs="宋体"/>
          <w:sz w:val="24"/>
          <w:szCs w:val="24"/>
          <w:lang w:val="en-US" w:eastAsia="zh-CN"/>
        </w:rPr>
        <w:t>服务知识</w:t>
      </w:r>
      <w:r>
        <w:rPr>
          <w:rFonts w:ascii="宋体" w:hAnsi="宋体" w:eastAsia="宋体" w:cs="宋体"/>
          <w:sz w:val="24"/>
          <w:szCs w:val="24"/>
        </w:rPr>
        <w:t>，要求运维部尽快整改完毕，并由质量部验证，已经通过。</w:t>
      </w:r>
    </w:p>
    <w:p w14:paraId="4CD92F4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针对不符合项的改进意见如下：</w:t>
      </w:r>
    </w:p>
    <w:p w14:paraId="19EA7BF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运维部相关人员认真学习</w:t>
      </w:r>
      <w:r>
        <w:rPr>
          <w:rFonts w:hint="eastAsia" w:ascii="宋体" w:hAnsi="宋体" w:eastAsia="宋体" w:cs="宋体"/>
          <w:sz w:val="24"/>
          <w:szCs w:val="24"/>
          <w:lang w:val="en-US" w:eastAsia="zh-CN"/>
        </w:rPr>
        <w:t>服务知识</w:t>
      </w:r>
      <w:r>
        <w:rPr>
          <w:rFonts w:ascii="宋体" w:hAnsi="宋体" w:eastAsia="宋体" w:cs="宋体"/>
          <w:sz w:val="24"/>
          <w:szCs w:val="24"/>
        </w:rPr>
        <w:t>管理制度，并按制度要求定期开展</w:t>
      </w:r>
      <w:r>
        <w:rPr>
          <w:rFonts w:hint="eastAsia" w:ascii="宋体" w:hAnsi="宋体" w:eastAsia="宋体" w:cs="宋体"/>
          <w:sz w:val="24"/>
          <w:szCs w:val="24"/>
          <w:lang w:val="en-US" w:eastAsia="zh-CN"/>
        </w:rPr>
        <w:t>服务知识</w:t>
      </w:r>
      <w:r>
        <w:rPr>
          <w:rFonts w:ascii="宋体" w:hAnsi="宋体" w:eastAsia="宋体" w:cs="宋体"/>
          <w:sz w:val="24"/>
          <w:szCs w:val="24"/>
        </w:rPr>
        <w:t>内容适宜性评审，并由专人负责提醒其定期开展</w:t>
      </w:r>
      <w:r>
        <w:rPr>
          <w:rFonts w:ascii="宋体" w:hAnsi="宋体" w:eastAsia="宋体" w:cs="宋体"/>
          <w:spacing w:val="-2"/>
          <w:sz w:val="24"/>
          <w:szCs w:val="24"/>
        </w:rPr>
        <w:t>。</w:t>
      </w:r>
    </w:p>
    <w:p w14:paraId="59E0EA95">
      <w:pPr>
        <w:pStyle w:val="28"/>
        <w:keepNext w:val="0"/>
        <w:keepLines w:val="0"/>
        <w:pageBreakBefore w:val="0"/>
        <w:widowControl w:val="0"/>
        <w:wordWrap/>
        <w:overflowPunct/>
        <w:topLinePunct w:val="0"/>
        <w:autoSpaceDE w:val="0"/>
        <w:autoSpaceDN w:val="0"/>
        <w:bidi w:val="0"/>
      </w:pPr>
      <w:bookmarkStart w:id="13" w:name="_Toc6456"/>
      <w:r>
        <w:rPr>
          <w:rFonts w:hint="eastAsia"/>
          <w:lang w:val="en-US" w:eastAsia="zh-CN"/>
        </w:rPr>
        <w:t>管理评审</w:t>
      </w:r>
      <w:bookmarkEnd w:id="13"/>
    </w:p>
    <w:p w14:paraId="3E871BE3">
      <w:pPr>
        <w:pStyle w:val="29"/>
        <w:bidi w:val="0"/>
        <w:rPr>
          <w:rFonts w:hint="eastAsia"/>
        </w:rPr>
      </w:pPr>
      <w:bookmarkStart w:id="14" w:name="_Toc22325"/>
      <w:r>
        <w:rPr>
          <w:rFonts w:hint="eastAsia"/>
        </w:rPr>
        <w:t>评审背景与输入</w:t>
      </w:r>
      <w:bookmarkEnd w:id="14"/>
    </w:p>
    <w:p w14:paraId="54958B2D">
      <w:pPr>
        <w:pStyle w:val="27"/>
        <w:rPr>
          <w:rFonts w:hint="eastAsia"/>
        </w:rPr>
      </w:pPr>
      <w:r>
        <w:rPr>
          <w:rFonts w:hint="eastAsia"/>
        </w:rPr>
        <w:t>体系运行期间，全体员工基于日常实践积极反馈改进建议，各审核专员亦通过项目检查识别了优化需求。以上信息作为重要输入，提交至管理评审会议。</w:t>
      </w:r>
    </w:p>
    <w:p w14:paraId="03E45BE1">
      <w:pPr>
        <w:pStyle w:val="29"/>
        <w:bidi w:val="0"/>
        <w:rPr>
          <w:rFonts w:hint="eastAsia"/>
        </w:rPr>
      </w:pPr>
      <w:bookmarkStart w:id="15" w:name="_Toc948"/>
      <w:r>
        <w:rPr>
          <w:rFonts w:hint="eastAsia"/>
        </w:rPr>
        <w:t>评审实施与发现</w:t>
      </w:r>
      <w:bookmarkEnd w:id="15"/>
    </w:p>
    <w:p w14:paraId="0021D74E">
      <w:pPr>
        <w:pStyle w:val="27"/>
        <w:rPr>
          <w:rFonts w:hint="eastAsia"/>
        </w:rPr>
      </w:pPr>
      <w:r>
        <w:rPr>
          <w:rFonts w:hint="eastAsia"/>
        </w:rPr>
        <w:t>公司于2025年</w:t>
      </w:r>
      <w:r>
        <w:rPr>
          <w:rFonts w:hint="eastAsia"/>
          <w:lang w:val="en-US" w:eastAsia="zh-CN"/>
        </w:rPr>
        <w:t>10</w:t>
      </w:r>
      <w:r>
        <w:rPr>
          <w:rFonts w:hint="eastAsia"/>
        </w:rPr>
        <w:t>月20日组织召开了运维服务能力管理评审会议。会议从人员、资源、过程、技术、应急、交付及体系实施成果等方面，对运维服务能力进行了系统性分析与评价。根据《运维服务能力指标体系》核查，各项指标均获达成；对于内审遗留问题，会议明确了具体的责任部门与整改路径。</w:t>
      </w:r>
    </w:p>
    <w:p w14:paraId="3545AB07">
      <w:pPr>
        <w:pStyle w:val="29"/>
        <w:bidi w:val="0"/>
        <w:rPr>
          <w:rFonts w:hint="eastAsia"/>
        </w:rPr>
      </w:pPr>
      <w:bookmarkStart w:id="16" w:name="_Toc27007"/>
      <w:r>
        <w:rPr>
          <w:rFonts w:hint="eastAsia"/>
        </w:rPr>
        <w:t>评审结论与决议</w:t>
      </w:r>
      <w:bookmarkEnd w:id="16"/>
    </w:p>
    <w:p w14:paraId="19C7A1F7">
      <w:pPr>
        <w:pStyle w:val="27"/>
      </w:pPr>
      <w:r>
        <w:rPr>
          <w:rFonts w:hint="eastAsia"/>
        </w:rPr>
        <w:t>经评审，与会人员一致认为：</w:t>
      </w:r>
      <w:bookmarkStart w:id="19" w:name="_GoBack"/>
      <w:bookmarkEnd w:id="19"/>
      <w:r>
        <w:rPr>
          <w:rFonts w:hint="eastAsia"/>
        </w:rPr>
        <w:t>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7151D385">
      <w:pPr>
        <w:pStyle w:val="28"/>
        <w:keepNext w:val="0"/>
        <w:keepLines w:val="0"/>
        <w:pageBreakBefore w:val="0"/>
        <w:widowControl w:val="0"/>
        <w:wordWrap/>
        <w:overflowPunct/>
        <w:topLinePunct w:val="0"/>
        <w:autoSpaceDE w:val="0"/>
        <w:autoSpaceDN w:val="0"/>
        <w:bidi w:val="0"/>
      </w:pPr>
      <w:bookmarkStart w:id="17" w:name="_Toc23095"/>
      <w:r>
        <w:t>满意度调查</w:t>
      </w:r>
      <w:bookmarkEnd w:id="17"/>
    </w:p>
    <w:p w14:paraId="49956889">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10</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6FE20AD8">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300B559F">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3D8C3DF4">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67308B5B">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3C813912">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531CF7A2">
      <w:pPr>
        <w:pStyle w:val="27"/>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2E559AB6">
      <w:pPr>
        <w:pStyle w:val="28"/>
        <w:keepNext w:val="0"/>
        <w:keepLines w:val="0"/>
        <w:pageBreakBefore w:val="0"/>
        <w:widowControl w:val="0"/>
        <w:wordWrap/>
        <w:overflowPunct/>
        <w:topLinePunct w:val="0"/>
        <w:autoSpaceDE w:val="0"/>
        <w:autoSpaceDN w:val="0"/>
        <w:bidi w:val="0"/>
      </w:pPr>
      <w:bookmarkStart w:id="18" w:name="_Toc13815"/>
      <w:r>
        <w:t>运维服务</w:t>
      </w:r>
      <w:r>
        <w:rPr>
          <w:rFonts w:hint="eastAsia"/>
          <w:lang w:val="en-US" w:eastAsia="zh-CN"/>
        </w:rPr>
        <w:t>质量总结、改进</w:t>
      </w:r>
      <w:bookmarkEnd w:id="18"/>
    </w:p>
    <w:p w14:paraId="2841048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2025年1月，由</w:t>
      </w:r>
      <w:r>
        <w:rPr>
          <w:rFonts w:hint="eastAsia" w:ascii="宋体" w:hAnsi="宋体" w:eastAsia="宋体" w:cs="宋体"/>
          <w:spacing w:val="-6"/>
          <w:sz w:val="24"/>
          <w:szCs w:val="24"/>
          <w:lang w:val="en-US" w:eastAsia="zh-CN"/>
        </w:rPr>
        <w:t>运维部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0A963">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A40A52"/>
    <w:rsid w:val="05DE1D42"/>
    <w:rsid w:val="0730200C"/>
    <w:rsid w:val="082C4FE6"/>
    <w:rsid w:val="0E8E59FB"/>
    <w:rsid w:val="0FDC1B80"/>
    <w:rsid w:val="1518325C"/>
    <w:rsid w:val="1ABC044C"/>
    <w:rsid w:val="260047A6"/>
    <w:rsid w:val="273B7337"/>
    <w:rsid w:val="32A0644D"/>
    <w:rsid w:val="32D54349"/>
    <w:rsid w:val="369462C9"/>
    <w:rsid w:val="3C4147FD"/>
    <w:rsid w:val="3E6527D6"/>
    <w:rsid w:val="4154708C"/>
    <w:rsid w:val="45CA13BF"/>
    <w:rsid w:val="4A5676C5"/>
    <w:rsid w:val="4C690909"/>
    <w:rsid w:val="4C6A7458"/>
    <w:rsid w:val="4EC503E6"/>
    <w:rsid w:val="505C355C"/>
    <w:rsid w:val="510559A1"/>
    <w:rsid w:val="51876757"/>
    <w:rsid w:val="520143BB"/>
    <w:rsid w:val="63381D51"/>
    <w:rsid w:val="6D0372EA"/>
    <w:rsid w:val="6E72314B"/>
    <w:rsid w:val="70216130"/>
    <w:rsid w:val="738B63B8"/>
    <w:rsid w:val="756B17C2"/>
    <w:rsid w:val="7A2E4F52"/>
    <w:rsid w:val="7A884D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2733</Words>
  <Characters>2917</Characters>
  <Lines>0</Lines>
  <Paragraphs>0</Paragraphs>
  <TotalTime>0</TotalTime>
  <ScaleCrop>false</ScaleCrop>
  <LinksUpToDate>false</LinksUpToDate>
  <CharactersWithSpaces>3150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2026-01-08T15:07:01Z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