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AA0B4">
      <w:pPr>
        <w:pStyle w:val="26"/>
        <w:bidi w:val="0"/>
        <w:outlineLvl w:val="9"/>
        <w:rPr>
          <w:rFonts w:hint="eastAsia"/>
          <w:lang w:val="en-US" w:eastAsia="zh-CN"/>
        </w:rPr>
      </w:pPr>
    </w:p>
    <w:p w14:paraId="6C0E1239">
      <w:pPr>
        <w:pStyle w:val="26"/>
        <w:bidi w:val="0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2025年满意度调查计划</w:t>
      </w:r>
    </w:p>
    <w:p w14:paraId="45DB072F">
      <w:pPr>
        <w:pStyle w:val="27"/>
        <w:bidi w:val="0"/>
        <w:outlineLvl w:val="9"/>
      </w:pPr>
      <w:r>
        <w:t>甘肃国邦信息科技有限公司</w:t>
      </w:r>
    </w:p>
    <w:p w14:paraId="39DD4964">
      <w:pPr>
        <w:bidi w:val="0"/>
        <w:spacing w:line="219" w:lineRule="auto"/>
        <w:jc w:val="center"/>
        <w:rPr>
          <w:rFonts w:hint="default" w:ascii="宋体" w:hAnsi="宋体" w:eastAsia="宋体" w:cs="宋体"/>
          <w:sz w:val="36"/>
          <w:szCs w:val="36"/>
          <w:lang w:val="en-US"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2025年1月3日</w:t>
      </w:r>
    </w:p>
    <w:p w14:paraId="3F8AC20E">
      <w:pPr>
        <w:pStyle w:val="12"/>
        <w:bidi w:val="0"/>
        <w:spacing w:line="363" w:lineRule="auto"/>
      </w:pPr>
    </w:p>
    <w:p w14:paraId="78B0396F">
      <w:pPr>
        <w:bidi w:val="0"/>
        <w:spacing w:before="91" w:line="220" w:lineRule="auto"/>
        <w:ind w:left="3811" w:leftChars="0"/>
        <w:outlineLvl w:val="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</w:p>
    <w:p w14:paraId="0E3913EB">
      <w:pPr>
        <w:bidi w:val="0"/>
        <w:spacing w:line="131" w:lineRule="exact"/>
      </w:pPr>
    </w:p>
    <w:tbl>
      <w:tblPr>
        <w:tblStyle w:val="24"/>
        <w:tblW w:w="914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1"/>
        <w:gridCol w:w="1528"/>
        <w:gridCol w:w="2341"/>
        <w:gridCol w:w="1982"/>
        <w:gridCol w:w="1563"/>
      </w:tblGrid>
      <w:tr w14:paraId="3C23E8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1731" w:type="dxa"/>
            <w:noWrap w:val="0"/>
            <w:vAlign w:val="center"/>
          </w:tcPr>
          <w:p w14:paraId="60686AA8">
            <w:pPr>
              <w:pStyle w:val="25"/>
              <w:spacing w:before="78" w:line="218" w:lineRule="auto"/>
              <w:rPr>
                <w:spacing w:val="-1"/>
              </w:rPr>
            </w:pPr>
            <w:r>
              <w:rPr>
                <w:spacing w:val="-1"/>
              </w:rPr>
              <w:t>文档名称编号</w:t>
            </w:r>
          </w:p>
        </w:tc>
        <w:tc>
          <w:tcPr>
            <w:tcW w:w="7414" w:type="dxa"/>
            <w:gridSpan w:val="4"/>
            <w:noWrap w:val="0"/>
            <w:vAlign w:val="center"/>
          </w:tcPr>
          <w:p w14:paraId="07FFC30E">
            <w:pPr>
              <w:pStyle w:val="25"/>
              <w:spacing w:before="78" w:line="218" w:lineRule="auto"/>
              <w:rPr>
                <w:spacing w:val="-1"/>
              </w:rPr>
            </w:pPr>
            <w:r>
              <w:rPr>
                <w:spacing w:val="-1"/>
              </w:rPr>
              <w:t>2025年度</w:t>
            </w:r>
            <w:r>
              <w:rPr>
                <w:rFonts w:hint="eastAsia"/>
                <w:spacing w:val="-1"/>
                <w:lang w:val="en-US" w:eastAsia="zh-CN"/>
              </w:rPr>
              <w:t>满意度调查计划</w:t>
            </w:r>
            <w:r>
              <w:rPr>
                <w:spacing w:val="-1"/>
              </w:rPr>
              <w:t>（GSGB-ITSS-</w:t>
            </w:r>
            <w:r>
              <w:rPr>
                <w:rFonts w:hint="eastAsia"/>
                <w:spacing w:val="-1"/>
                <w:lang w:val="en-US" w:eastAsia="zh-CN"/>
              </w:rPr>
              <w:t>MYDDC</w:t>
            </w:r>
            <w:r>
              <w:rPr>
                <w:spacing w:val="-1"/>
              </w:rPr>
              <w:t>）</w:t>
            </w:r>
          </w:p>
        </w:tc>
      </w:tr>
      <w:tr w14:paraId="043F3E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731" w:type="dxa"/>
            <w:noWrap w:val="0"/>
            <w:vAlign w:val="center"/>
          </w:tcPr>
          <w:p w14:paraId="58D40E3D">
            <w:pPr>
              <w:pStyle w:val="25"/>
              <w:spacing w:before="78" w:line="218" w:lineRule="auto"/>
              <w:rPr>
                <w:spacing w:val="-1"/>
              </w:rPr>
            </w:pPr>
            <w:r>
              <w:rPr>
                <w:spacing w:val="-1"/>
              </w:rPr>
              <w:t>编制单位</w:t>
            </w:r>
          </w:p>
        </w:tc>
        <w:tc>
          <w:tcPr>
            <w:tcW w:w="7414" w:type="dxa"/>
            <w:gridSpan w:val="4"/>
            <w:noWrap w:val="0"/>
            <w:vAlign w:val="center"/>
          </w:tcPr>
          <w:p w14:paraId="38CD20BA">
            <w:pPr>
              <w:pStyle w:val="25"/>
              <w:spacing w:before="78" w:line="218" w:lineRule="auto"/>
              <w:rPr>
                <w:spacing w:val="-1"/>
              </w:rPr>
            </w:pPr>
            <w:r>
              <w:rPr>
                <w:spacing w:val="-1"/>
              </w:rPr>
              <w:t>甘肃国邦信息科技有限公司</w:t>
            </w:r>
          </w:p>
        </w:tc>
      </w:tr>
      <w:tr w14:paraId="721A32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731" w:type="dxa"/>
            <w:noWrap w:val="0"/>
            <w:vAlign w:val="center"/>
          </w:tcPr>
          <w:p w14:paraId="468FBB63">
            <w:pPr>
              <w:pStyle w:val="25"/>
              <w:spacing w:before="78" w:line="218" w:lineRule="auto"/>
              <w:rPr>
                <w:spacing w:val="-1"/>
              </w:rPr>
            </w:pPr>
            <w:r>
              <w:rPr>
                <w:spacing w:val="-1"/>
              </w:rPr>
              <w:t>文档密级</w:t>
            </w:r>
          </w:p>
        </w:tc>
        <w:tc>
          <w:tcPr>
            <w:tcW w:w="7414" w:type="dxa"/>
            <w:gridSpan w:val="4"/>
            <w:noWrap w:val="0"/>
            <w:vAlign w:val="center"/>
          </w:tcPr>
          <w:p w14:paraId="439FE24D">
            <w:pPr>
              <w:pStyle w:val="25"/>
              <w:spacing w:before="78" w:line="218" w:lineRule="auto"/>
              <w:rPr>
                <w:spacing w:val="-1"/>
              </w:rPr>
            </w:pPr>
            <w:r>
              <w:rPr>
                <w:spacing w:val="-1"/>
              </w:rPr>
              <w:t>秘密</w:t>
            </w:r>
          </w:p>
        </w:tc>
      </w:tr>
      <w:tr w14:paraId="31BFE5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731" w:type="dxa"/>
            <w:noWrap w:val="0"/>
            <w:vAlign w:val="center"/>
          </w:tcPr>
          <w:p w14:paraId="04C30638">
            <w:pPr>
              <w:pStyle w:val="25"/>
              <w:spacing w:before="186" w:line="219" w:lineRule="auto"/>
            </w:pPr>
            <w:r>
              <w:rPr>
                <w:spacing w:val="-3"/>
              </w:rPr>
              <w:t>文档版本</w:t>
            </w:r>
          </w:p>
        </w:tc>
        <w:tc>
          <w:tcPr>
            <w:tcW w:w="1528" w:type="dxa"/>
            <w:noWrap w:val="0"/>
            <w:vAlign w:val="center"/>
          </w:tcPr>
          <w:p w14:paraId="1DDD6C57">
            <w:pPr>
              <w:pStyle w:val="25"/>
              <w:spacing w:before="186" w:line="219" w:lineRule="auto"/>
              <w:ind w:left="371"/>
            </w:pPr>
            <w:r>
              <w:rPr>
                <w:spacing w:val="-2"/>
              </w:rPr>
              <w:t>版本日期</w:t>
            </w:r>
          </w:p>
        </w:tc>
        <w:tc>
          <w:tcPr>
            <w:tcW w:w="2341" w:type="dxa"/>
            <w:noWrap w:val="0"/>
            <w:vAlign w:val="center"/>
          </w:tcPr>
          <w:p w14:paraId="7FC2F87D">
            <w:pPr>
              <w:pStyle w:val="25"/>
              <w:spacing w:before="186" w:line="219" w:lineRule="auto"/>
              <w:ind w:left="695"/>
            </w:pPr>
            <w:r>
              <w:rPr>
                <w:spacing w:val="-2"/>
              </w:rPr>
              <w:t>版本说明</w:t>
            </w:r>
          </w:p>
        </w:tc>
        <w:tc>
          <w:tcPr>
            <w:tcW w:w="1982" w:type="dxa"/>
            <w:noWrap w:val="0"/>
            <w:vAlign w:val="center"/>
          </w:tcPr>
          <w:p w14:paraId="7F42F478">
            <w:pPr>
              <w:pStyle w:val="25"/>
              <w:spacing w:before="187" w:line="220" w:lineRule="auto"/>
              <w:ind w:left="758"/>
            </w:pPr>
            <w:r>
              <w:rPr>
                <w:spacing w:val="-3"/>
              </w:rPr>
              <w:t>作者</w:t>
            </w:r>
          </w:p>
        </w:tc>
        <w:tc>
          <w:tcPr>
            <w:tcW w:w="1563" w:type="dxa"/>
            <w:noWrap w:val="0"/>
            <w:vAlign w:val="center"/>
          </w:tcPr>
          <w:p w14:paraId="78128C99">
            <w:pPr>
              <w:pStyle w:val="25"/>
              <w:spacing w:before="187" w:line="220" w:lineRule="auto"/>
              <w:ind w:left="559"/>
            </w:pPr>
            <w:r>
              <w:rPr>
                <w:spacing w:val="-6"/>
              </w:rPr>
              <w:t>审核</w:t>
            </w:r>
          </w:p>
        </w:tc>
      </w:tr>
      <w:tr w14:paraId="1FDC87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1731" w:type="dxa"/>
            <w:noWrap w:val="0"/>
            <w:vAlign w:val="center"/>
          </w:tcPr>
          <w:p w14:paraId="6D6C0F45">
            <w:pPr>
              <w:pStyle w:val="25"/>
              <w:spacing w:before="162" w:line="239" w:lineRule="auto"/>
              <w:ind w:left="538"/>
            </w:pPr>
            <w:r>
              <w:rPr>
                <w:spacing w:val="-1"/>
              </w:rPr>
              <w:t>V1.0</w:t>
            </w:r>
          </w:p>
        </w:tc>
        <w:tc>
          <w:tcPr>
            <w:tcW w:w="1528" w:type="dxa"/>
            <w:noWrap w:val="0"/>
            <w:vAlign w:val="center"/>
          </w:tcPr>
          <w:p w14:paraId="31D467EF">
            <w:pPr>
              <w:pStyle w:val="25"/>
              <w:spacing w:before="162"/>
              <w:ind w:left="313"/>
              <w:rPr>
                <w:rFonts w:hint="eastAsia" w:eastAsia="等线"/>
                <w:lang w:eastAsia="zh-CN"/>
              </w:rPr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1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3</w:t>
            </w:r>
          </w:p>
        </w:tc>
        <w:tc>
          <w:tcPr>
            <w:tcW w:w="2341" w:type="dxa"/>
            <w:noWrap w:val="0"/>
            <w:vAlign w:val="center"/>
          </w:tcPr>
          <w:p w14:paraId="2FC609D8">
            <w:pPr>
              <w:pStyle w:val="25"/>
              <w:spacing w:before="128" w:line="219" w:lineRule="auto"/>
              <w:ind w:left="698"/>
            </w:pPr>
            <w:r>
              <w:rPr>
                <w:spacing w:val="-3"/>
              </w:rPr>
              <w:t>发布版本</w:t>
            </w:r>
          </w:p>
        </w:tc>
        <w:tc>
          <w:tcPr>
            <w:tcW w:w="1982" w:type="dxa"/>
            <w:noWrap w:val="0"/>
            <w:vAlign w:val="center"/>
          </w:tcPr>
          <w:p w14:paraId="176EA705">
            <w:pPr>
              <w:pStyle w:val="25"/>
              <w:spacing w:before="128" w:line="220" w:lineRule="auto"/>
              <w:ind w:left="639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金文莉</w:t>
            </w:r>
          </w:p>
        </w:tc>
        <w:tc>
          <w:tcPr>
            <w:tcW w:w="1563" w:type="dxa"/>
            <w:noWrap w:val="0"/>
            <w:vAlign w:val="center"/>
          </w:tcPr>
          <w:p w14:paraId="190CD5FB">
            <w:pPr>
              <w:pStyle w:val="25"/>
              <w:spacing w:before="129" w:line="220" w:lineRule="auto"/>
              <w:ind w:left="439"/>
              <w:rPr>
                <w:rFonts w:hint="eastAsia" w:eastAsia="等线"/>
                <w:lang w:eastAsia="zh-CN"/>
              </w:rPr>
            </w:pPr>
            <w:r>
              <w:rPr>
                <w:rFonts w:hint="eastAsia"/>
                <w:spacing w:val="-5"/>
                <w:lang w:val="en-US" w:eastAsia="zh-CN"/>
              </w:rPr>
              <w:t>黄益溪</w:t>
            </w:r>
          </w:p>
        </w:tc>
      </w:tr>
      <w:tr w14:paraId="179CDF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731" w:type="dxa"/>
            <w:noWrap w:val="0"/>
            <w:vAlign w:val="center"/>
          </w:tcPr>
          <w:p w14:paraId="03887560">
            <w:pPr>
              <w:rPr>
                <w:rFonts w:ascii="Arial"/>
                <w:sz w:val="21"/>
              </w:rPr>
            </w:pPr>
          </w:p>
        </w:tc>
        <w:tc>
          <w:tcPr>
            <w:tcW w:w="1528" w:type="dxa"/>
            <w:noWrap w:val="0"/>
            <w:vAlign w:val="center"/>
          </w:tcPr>
          <w:p w14:paraId="1B0C7486">
            <w:pPr>
              <w:rPr>
                <w:rFonts w:ascii="Arial"/>
                <w:sz w:val="21"/>
              </w:rPr>
            </w:pPr>
          </w:p>
        </w:tc>
        <w:tc>
          <w:tcPr>
            <w:tcW w:w="2341" w:type="dxa"/>
            <w:noWrap w:val="0"/>
            <w:vAlign w:val="center"/>
          </w:tcPr>
          <w:p w14:paraId="54E04B27">
            <w:pPr>
              <w:rPr>
                <w:rFonts w:ascii="Arial"/>
                <w:sz w:val="21"/>
              </w:rPr>
            </w:pPr>
          </w:p>
        </w:tc>
        <w:tc>
          <w:tcPr>
            <w:tcW w:w="1982" w:type="dxa"/>
            <w:noWrap w:val="0"/>
            <w:vAlign w:val="center"/>
          </w:tcPr>
          <w:p w14:paraId="58A74602">
            <w:pPr>
              <w:rPr>
                <w:rFonts w:ascii="Arial"/>
                <w:sz w:val="21"/>
              </w:rPr>
            </w:pPr>
          </w:p>
        </w:tc>
        <w:tc>
          <w:tcPr>
            <w:tcW w:w="1563" w:type="dxa"/>
            <w:noWrap w:val="0"/>
            <w:vAlign w:val="center"/>
          </w:tcPr>
          <w:p w14:paraId="2066078D">
            <w:pPr>
              <w:rPr>
                <w:rFonts w:ascii="Arial"/>
                <w:sz w:val="21"/>
              </w:rPr>
            </w:pPr>
          </w:p>
        </w:tc>
      </w:tr>
      <w:tr w14:paraId="6127F1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731" w:type="dxa"/>
            <w:noWrap w:val="0"/>
            <w:vAlign w:val="center"/>
          </w:tcPr>
          <w:p w14:paraId="3691EDB2">
            <w:pPr>
              <w:rPr>
                <w:rFonts w:ascii="Arial"/>
                <w:sz w:val="21"/>
              </w:rPr>
            </w:pPr>
          </w:p>
        </w:tc>
        <w:tc>
          <w:tcPr>
            <w:tcW w:w="1528" w:type="dxa"/>
            <w:noWrap w:val="0"/>
            <w:vAlign w:val="center"/>
          </w:tcPr>
          <w:p w14:paraId="5CCB813F">
            <w:pPr>
              <w:rPr>
                <w:rFonts w:ascii="Arial"/>
                <w:sz w:val="21"/>
              </w:rPr>
            </w:pPr>
          </w:p>
        </w:tc>
        <w:tc>
          <w:tcPr>
            <w:tcW w:w="2341" w:type="dxa"/>
            <w:noWrap w:val="0"/>
            <w:vAlign w:val="center"/>
          </w:tcPr>
          <w:p w14:paraId="09EAB60B">
            <w:pPr>
              <w:rPr>
                <w:rFonts w:ascii="Arial"/>
                <w:sz w:val="21"/>
              </w:rPr>
            </w:pPr>
          </w:p>
        </w:tc>
        <w:tc>
          <w:tcPr>
            <w:tcW w:w="1982" w:type="dxa"/>
            <w:noWrap w:val="0"/>
            <w:vAlign w:val="center"/>
          </w:tcPr>
          <w:p w14:paraId="1FC63D20">
            <w:pPr>
              <w:rPr>
                <w:rFonts w:ascii="Arial"/>
                <w:sz w:val="21"/>
              </w:rPr>
            </w:pPr>
          </w:p>
        </w:tc>
        <w:tc>
          <w:tcPr>
            <w:tcW w:w="1563" w:type="dxa"/>
            <w:noWrap w:val="0"/>
            <w:vAlign w:val="center"/>
          </w:tcPr>
          <w:p w14:paraId="4A0CCE90">
            <w:pPr>
              <w:rPr>
                <w:rFonts w:ascii="Arial"/>
                <w:sz w:val="21"/>
              </w:rPr>
            </w:pPr>
          </w:p>
        </w:tc>
      </w:tr>
      <w:tr w14:paraId="3134E1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731" w:type="dxa"/>
            <w:noWrap w:val="0"/>
            <w:vAlign w:val="center"/>
          </w:tcPr>
          <w:p w14:paraId="30507B4B">
            <w:pPr>
              <w:rPr>
                <w:rFonts w:ascii="Arial"/>
                <w:sz w:val="21"/>
              </w:rPr>
            </w:pPr>
          </w:p>
        </w:tc>
        <w:tc>
          <w:tcPr>
            <w:tcW w:w="1528" w:type="dxa"/>
            <w:noWrap w:val="0"/>
            <w:vAlign w:val="center"/>
          </w:tcPr>
          <w:p w14:paraId="597AF8CC">
            <w:pPr>
              <w:rPr>
                <w:rFonts w:ascii="Arial"/>
                <w:sz w:val="21"/>
              </w:rPr>
            </w:pPr>
          </w:p>
        </w:tc>
        <w:tc>
          <w:tcPr>
            <w:tcW w:w="2341" w:type="dxa"/>
            <w:noWrap w:val="0"/>
            <w:vAlign w:val="center"/>
          </w:tcPr>
          <w:p w14:paraId="411F515A">
            <w:pPr>
              <w:rPr>
                <w:rFonts w:ascii="Arial"/>
                <w:sz w:val="21"/>
              </w:rPr>
            </w:pPr>
          </w:p>
        </w:tc>
        <w:tc>
          <w:tcPr>
            <w:tcW w:w="1982" w:type="dxa"/>
            <w:noWrap w:val="0"/>
            <w:vAlign w:val="center"/>
          </w:tcPr>
          <w:p w14:paraId="50F15D5C">
            <w:pPr>
              <w:rPr>
                <w:rFonts w:ascii="Arial"/>
                <w:sz w:val="21"/>
              </w:rPr>
            </w:pPr>
          </w:p>
        </w:tc>
        <w:tc>
          <w:tcPr>
            <w:tcW w:w="1563" w:type="dxa"/>
            <w:noWrap w:val="0"/>
            <w:vAlign w:val="center"/>
          </w:tcPr>
          <w:p w14:paraId="37D51F64">
            <w:pPr>
              <w:rPr>
                <w:rFonts w:ascii="Arial"/>
                <w:sz w:val="21"/>
              </w:rPr>
            </w:pPr>
          </w:p>
        </w:tc>
      </w:tr>
    </w:tbl>
    <w:p w14:paraId="4FEA4974"/>
    <w:p w14:paraId="645B36FC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3142"/>
        <w15:color w:val="DBDBDB"/>
        <w:docPartObj>
          <w:docPartGallery w:val="Table of Contents"/>
          <w:docPartUnique/>
        </w:docPartObj>
      </w:sdtPr>
      <w:sdtContent>
        <w:p w14:paraId="2D0EF7C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BF5740B">
          <w:pPr>
            <w:pStyle w:val="16"/>
            <w:tabs>
              <w:tab w:val="right" w:leader="dot" w:pos="8697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_Toc25224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调查目的</w:t>
          </w:r>
          <w:r>
            <w:tab/>
          </w:r>
          <w:r>
            <w:fldChar w:fldCharType="begin"/>
          </w:r>
          <w:r>
            <w:instrText xml:space="preserve"> PAGEREF _Toc25224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101474F">
          <w:pPr>
            <w:pStyle w:val="16"/>
            <w:tabs>
              <w:tab w:val="right" w:leader="dot" w:pos="8697"/>
            </w:tabs>
          </w:pPr>
          <w:r>
            <w:fldChar w:fldCharType="begin"/>
          </w:r>
          <w:r>
            <w:instrText xml:space="preserve"> HYPERLINK \l _Toc27269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调查范围</w:t>
          </w:r>
          <w:r>
            <w:tab/>
          </w:r>
          <w:r>
            <w:fldChar w:fldCharType="begin"/>
          </w:r>
          <w:r>
            <w:instrText xml:space="preserve"> PAGEREF _Toc27269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B6ABFAD">
          <w:pPr>
            <w:pStyle w:val="16"/>
            <w:tabs>
              <w:tab w:val="right" w:leader="dot" w:pos="8697"/>
            </w:tabs>
          </w:pPr>
          <w:r>
            <w:fldChar w:fldCharType="begin"/>
          </w:r>
          <w:r>
            <w:instrText xml:space="preserve"> HYPERLINK \l _Toc4998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调查时间安排</w:t>
          </w:r>
          <w:r>
            <w:tab/>
          </w:r>
          <w:r>
            <w:fldChar w:fldCharType="begin"/>
          </w:r>
          <w:r>
            <w:instrText xml:space="preserve"> PAGEREF _Toc4998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7CC1EFE">
          <w:pPr>
            <w:pStyle w:val="16"/>
            <w:tabs>
              <w:tab w:val="right" w:leader="dot" w:pos="8697"/>
            </w:tabs>
          </w:pPr>
          <w:r>
            <w:fldChar w:fldCharType="begin"/>
          </w:r>
          <w:r>
            <w:instrText xml:space="preserve"> HYPERLINK \l _Toc5706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调查方式</w:t>
          </w:r>
          <w:r>
            <w:tab/>
          </w:r>
          <w:r>
            <w:fldChar w:fldCharType="begin"/>
          </w:r>
          <w:r>
            <w:instrText xml:space="preserve"> PAGEREF _Toc5706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01B5D83">
          <w:pPr>
            <w:pStyle w:val="16"/>
            <w:tabs>
              <w:tab w:val="right" w:leader="dot" w:pos="8697"/>
            </w:tabs>
          </w:pPr>
          <w:r>
            <w:fldChar w:fldCharType="begin"/>
          </w:r>
          <w:r>
            <w:instrText xml:space="preserve"> HYPERLINK \l _Toc4762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调查内容与评价项</w:t>
          </w:r>
          <w:r>
            <w:tab/>
          </w:r>
          <w:r>
            <w:fldChar w:fldCharType="begin"/>
          </w:r>
          <w:r>
            <w:instrText xml:space="preserve"> PAGEREF _Toc4762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3882B6C">
          <w:pPr>
            <w:pStyle w:val="16"/>
            <w:tabs>
              <w:tab w:val="right" w:leader="dot" w:pos="8697"/>
            </w:tabs>
          </w:pPr>
          <w:r>
            <w:fldChar w:fldCharType="begin"/>
          </w:r>
          <w:r>
            <w:instrText xml:space="preserve"> HYPERLINK \l _Toc22023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满意度计算方式</w:t>
          </w:r>
          <w:r>
            <w:tab/>
          </w:r>
          <w:r>
            <w:fldChar w:fldCharType="begin"/>
          </w:r>
          <w:r>
            <w:instrText xml:space="preserve"> PAGEREF _Toc22023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D08A97B">
          <w:pPr>
            <w:pStyle w:val="16"/>
            <w:tabs>
              <w:tab w:val="right" w:leader="dot" w:pos="8697"/>
            </w:tabs>
          </w:pPr>
          <w:r>
            <w:fldChar w:fldCharType="begin"/>
          </w:r>
          <w:r>
            <w:instrText xml:space="preserve"> HYPERLINK \l _Toc20506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实施责任与分工</w:t>
          </w:r>
          <w:r>
            <w:tab/>
          </w:r>
          <w:r>
            <w:fldChar w:fldCharType="begin"/>
          </w:r>
          <w:r>
            <w:instrText xml:space="preserve"> PAGEREF _Toc20506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8C66328">
          <w:pPr>
            <w:pStyle w:val="16"/>
            <w:tabs>
              <w:tab w:val="right" w:leader="dot" w:pos="8697"/>
            </w:tabs>
          </w:pPr>
          <w:r>
            <w:fldChar w:fldCharType="begin"/>
          </w:r>
          <w:r>
            <w:instrText xml:space="preserve"> HYPERLINK \l _Toc3202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后续改进</w:t>
          </w:r>
          <w:r>
            <w:tab/>
          </w:r>
          <w:r>
            <w:fldChar w:fldCharType="begin"/>
          </w:r>
          <w:r>
            <w:instrText xml:space="preserve"> PAGEREF _Toc3202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1D9E306">
          <w:r>
            <w:fldChar w:fldCharType="end"/>
          </w:r>
        </w:p>
      </w:sdtContent>
    </w:sdt>
    <w:p w14:paraId="45953F0D"/>
    <w:p w14:paraId="130EA312">
      <w:pPr>
        <w:rPr>
          <w:rFonts w:hint="eastAsia"/>
        </w:rPr>
      </w:pPr>
      <w:r>
        <w:br w:type="page"/>
      </w:r>
    </w:p>
    <w:p w14:paraId="0936690F">
      <w:pPr>
        <w:pStyle w:val="28"/>
        <w:bidi w:val="0"/>
        <w:rPr>
          <w:rFonts w:hint="eastAsia"/>
        </w:rPr>
      </w:pPr>
      <w:bookmarkStart w:id="0" w:name="_Toc25224"/>
      <w:r>
        <w:rPr>
          <w:rFonts w:hint="eastAsia"/>
        </w:rPr>
        <w:t>调查目的</w:t>
      </w:r>
      <w:bookmarkEnd w:id="0"/>
    </w:p>
    <w:p w14:paraId="5CC582DF">
      <w:pPr>
        <w:pStyle w:val="29"/>
        <w:bidi w:val="0"/>
        <w:rPr>
          <w:rFonts w:hint="eastAsia"/>
        </w:rPr>
      </w:pPr>
      <w:r>
        <w:rPr>
          <w:rFonts w:hint="eastAsia"/>
        </w:rPr>
        <w:t>为系统评估客户对公司运维服务的满意度，识别服务短板，推动持续改进，提升客户体验与服务质量，特制定本次调查计划。</w:t>
      </w:r>
    </w:p>
    <w:p w14:paraId="7C4548B2">
      <w:pPr>
        <w:pStyle w:val="28"/>
        <w:bidi w:val="0"/>
        <w:rPr>
          <w:rFonts w:hint="eastAsia"/>
        </w:rPr>
      </w:pPr>
      <w:bookmarkStart w:id="1" w:name="_Toc27269"/>
      <w:r>
        <w:rPr>
          <w:rFonts w:hint="eastAsia"/>
        </w:rPr>
        <w:t>调查范围</w:t>
      </w:r>
      <w:bookmarkEnd w:id="1"/>
    </w:p>
    <w:p w14:paraId="6750C3A8">
      <w:pPr>
        <w:pStyle w:val="29"/>
        <w:bidi w:val="0"/>
        <w:rPr>
          <w:rFonts w:hint="eastAsia"/>
        </w:rPr>
      </w:pPr>
      <w:r>
        <w:rPr>
          <w:rFonts w:hint="eastAsia"/>
        </w:rPr>
        <w:t>公司当前主要运维服务客户，包括但不限于：甘肃省人民医院、甘肃省中医院、平度市第三人民医院、平度市人民医院、甘肃省第二人民医院、中国动物卫生与流行病学中心等。</w:t>
      </w:r>
    </w:p>
    <w:p w14:paraId="36453B04">
      <w:pPr>
        <w:pStyle w:val="28"/>
        <w:bidi w:val="0"/>
        <w:rPr>
          <w:rFonts w:hint="eastAsia"/>
        </w:rPr>
      </w:pPr>
      <w:bookmarkStart w:id="2" w:name="_Toc4998"/>
      <w:r>
        <w:rPr>
          <w:rFonts w:hint="eastAsia"/>
        </w:rPr>
        <w:t>调查时间安排</w:t>
      </w:r>
      <w:bookmarkEnd w:id="2"/>
    </w:p>
    <w:p w14:paraId="7651D5A3">
      <w:pPr>
        <w:pStyle w:val="29"/>
        <w:bidi w:val="0"/>
        <w:rPr>
          <w:rFonts w:hint="eastAsia"/>
        </w:rPr>
      </w:pPr>
      <w:r>
        <w:rPr>
          <w:rFonts w:hint="eastAsia"/>
        </w:rPr>
        <w:t>调查执行期： 2025年10月10日 - 10月13日</w:t>
      </w:r>
    </w:p>
    <w:p w14:paraId="4A6341CB">
      <w:pPr>
        <w:pStyle w:val="29"/>
        <w:bidi w:val="0"/>
        <w:rPr>
          <w:rFonts w:hint="eastAsia"/>
        </w:rPr>
      </w:pPr>
      <w:r>
        <w:rPr>
          <w:rFonts w:hint="eastAsia"/>
        </w:rPr>
        <w:t>数据汇总与报告撰写： 2025年10月14日</w:t>
      </w:r>
    </w:p>
    <w:p w14:paraId="64CDB932">
      <w:pPr>
        <w:pStyle w:val="28"/>
        <w:bidi w:val="0"/>
        <w:rPr>
          <w:rFonts w:hint="eastAsia"/>
        </w:rPr>
      </w:pPr>
      <w:bookmarkStart w:id="3" w:name="_Toc5706"/>
      <w:r>
        <w:rPr>
          <w:rFonts w:hint="eastAsia"/>
        </w:rPr>
        <w:t>调查方式</w:t>
      </w:r>
      <w:bookmarkEnd w:id="3"/>
    </w:p>
    <w:p w14:paraId="0860E0E2">
      <w:pPr>
        <w:pStyle w:val="29"/>
        <w:bidi w:val="0"/>
        <w:rPr>
          <w:rFonts w:hint="eastAsia"/>
        </w:rPr>
      </w:pPr>
      <w:r>
        <w:rPr>
          <w:rFonts w:hint="eastAsia"/>
        </w:rPr>
        <w:t>主要以电子邮件形式发送《客户满意度调查表》进行问卷调研，并对重点客户辅以电话回访确认。</w:t>
      </w:r>
    </w:p>
    <w:p w14:paraId="34983835">
      <w:pPr>
        <w:pStyle w:val="28"/>
        <w:bidi w:val="0"/>
      </w:pPr>
      <w:bookmarkStart w:id="4" w:name="_Toc4762"/>
      <w:r>
        <w:t>调查内容与评价项</w:t>
      </w:r>
      <w:bookmarkEnd w:id="4"/>
    </w:p>
    <w:p w14:paraId="097178D2">
      <w:pPr>
        <w:pStyle w:val="29"/>
        <w:bidi w:val="0"/>
        <w:rPr>
          <w:rFonts w:hint="default"/>
        </w:rPr>
      </w:pPr>
      <w:r>
        <w:rPr>
          <w:rFonts w:hint="default"/>
        </w:rPr>
        <w:t>调查将围绕以下十个维度展开，采用评分制，具体项目与分值如下：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644"/>
        <w:gridCol w:w="924"/>
        <w:gridCol w:w="4877"/>
      </w:tblGrid>
      <w:tr w14:paraId="42326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7F29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A03A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调查项目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0ECA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标准分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8C39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评分说明</w:t>
            </w:r>
          </w:p>
        </w:tc>
      </w:tr>
      <w:tr w14:paraId="24503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7FA6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6504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技术水平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E990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01D6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评估技术能力的专业性与解决问题的能力。</w:t>
            </w:r>
          </w:p>
        </w:tc>
      </w:tr>
      <w:tr w14:paraId="0F2A5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0A2C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970A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服务态度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2B3A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D417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评估服务人员的礼貌、耐心与合作精神。</w:t>
            </w:r>
          </w:p>
        </w:tc>
      </w:tr>
      <w:tr w14:paraId="33C04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7F01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E982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服务及时性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640B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4340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评估响应请求、到达现场及处理问题的速度。</w:t>
            </w:r>
          </w:p>
        </w:tc>
      </w:tr>
      <w:tr w14:paraId="7E7DA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985C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D279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服务规范性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B83C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B67B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评估服务过程是否符合既定流程与标准。</w:t>
            </w:r>
          </w:p>
        </w:tc>
      </w:tr>
      <w:tr w14:paraId="03DB3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5536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F497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问题解决的效率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9C21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D228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评估从发现问题到解决方案提出的时间周期。</w:t>
            </w:r>
          </w:p>
        </w:tc>
      </w:tr>
      <w:tr w14:paraId="706E8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40B3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07D1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问题解决有效性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C8F9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19C0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评估解决方案是否彻底、根本地解决了问题，无复发。</w:t>
            </w:r>
          </w:p>
        </w:tc>
      </w:tr>
      <w:tr w14:paraId="5CB32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D078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3961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咨询及培训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B8A2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341C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评估日常咨询解答与培训支持的实用性与清晰度。</w:t>
            </w:r>
          </w:p>
        </w:tc>
      </w:tr>
      <w:tr w14:paraId="0EE5B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9F21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ECB7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使用方便性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ED32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E5E8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评估所提供的系统、工具或文档是否易于理解和使用。</w:t>
            </w:r>
          </w:p>
        </w:tc>
      </w:tr>
      <w:tr w14:paraId="03CA0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70A5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732E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系统相关培训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335C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84FD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评估针对具体系统操作的培训质量与效果。</w:t>
            </w:r>
          </w:p>
        </w:tc>
      </w:tr>
      <w:tr w14:paraId="1BBD6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129D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9620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服务台服务水平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E992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7627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评估服务台在接入、沟通、派单及跟进过程中的整体表现。</w:t>
            </w:r>
          </w:p>
        </w:tc>
      </w:tr>
      <w:tr w14:paraId="5312C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152A6B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E559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344D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D5874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</w:tbl>
    <w:p w14:paraId="5C151FFB">
      <w:pPr>
        <w:keepNext w:val="0"/>
        <w:keepLines w:val="0"/>
        <w:widowControl/>
        <w:suppressLineNumbers w:val="0"/>
        <w:jc w:val="left"/>
      </w:pPr>
    </w:p>
    <w:p w14:paraId="4AA2688E">
      <w:pPr>
        <w:pStyle w:val="28"/>
        <w:bidi w:val="0"/>
        <w:rPr>
          <w:rFonts w:hint="eastAsia"/>
          <w:lang w:val="en-US" w:eastAsia="zh-CN"/>
        </w:rPr>
      </w:pPr>
      <w:bookmarkStart w:id="5" w:name="_Toc22023"/>
      <w:r>
        <w:rPr>
          <w:rFonts w:hint="eastAsia"/>
          <w:lang w:val="en-US" w:eastAsia="zh-CN"/>
        </w:rPr>
        <w:t>满意度计算方式</w:t>
      </w:r>
      <w:bookmarkEnd w:id="5"/>
    </w:p>
    <w:p w14:paraId="5EE4C07E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单项评分标准：</w:t>
      </w:r>
    </w:p>
    <w:p w14:paraId="39668A75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很满意：10分</w:t>
      </w:r>
    </w:p>
    <w:p w14:paraId="4345AEE1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满意：</w:t>
      </w:r>
      <w:bookmarkStart w:id="8" w:name="_GoBack"/>
      <w:bookmarkEnd w:id="8"/>
      <w:r>
        <w:rPr>
          <w:rFonts w:hint="eastAsia"/>
          <w:lang w:val="en-US" w:eastAsia="zh-CN"/>
        </w:rPr>
        <w:t>8分</w:t>
      </w:r>
    </w:p>
    <w:p w14:paraId="7666781E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基本满意：5分</w:t>
      </w:r>
    </w:p>
    <w:p w14:paraId="4C4B23E1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不满意：0分</w:t>
      </w:r>
    </w:p>
    <w:p w14:paraId="5CAA09A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客户总分计算：单份调查表中所有项目得分相加，即为该客户本次满意度调查总分（满分100分）。</w:t>
      </w:r>
    </w:p>
    <w:p w14:paraId="56D55D86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满意度等级划分：</w:t>
      </w:r>
    </w:p>
    <w:p w14:paraId="2D0EFB90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80-100分（含80分）：满意</w:t>
      </w:r>
    </w:p>
    <w:p w14:paraId="3D587549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60-80分（含60分）： 尚可</w:t>
      </w:r>
    </w:p>
    <w:p w14:paraId="4B8590A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40-60分（含40分）： 不满意</w:t>
      </w:r>
    </w:p>
    <w:p w14:paraId="1BB13E33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低于40分： 非常不满意</w:t>
      </w:r>
    </w:p>
    <w:p w14:paraId="5FB3374E">
      <w:pPr>
        <w:pStyle w:val="40"/>
        <w:bidi w:val="0"/>
        <w:rPr>
          <w:i w:val="0"/>
        </w:rPr>
      </w:pPr>
      <m:oMathPara>
        <m:oMath>
          <m:r>
            <m:rPr>
              <m:sty m:val="p"/>
            </m:rPr>
            <w:rPr>
              <w:rFonts w:hint="eastAsia" w:ascii="Times New Roman" w:hAnsi="Times New Roman"/>
              <w:lang w:val="en-US" w:eastAsia="zh-CN"/>
            </w:rPr>
            <m:t>客户满意度平均分</m:t>
          </m:r>
          <m:r>
            <m:rPr>
              <m:sty m:val="p"/>
            </m:rPr>
            <w:rPr>
              <w:rFonts w:hint="default" w:ascii="Times New Roman" w:hAnsi="Times New Roman"/>
              <w:lang w:val="en-US" w:eastAsia="zh-CN"/>
            </w:rPr>
            <m:t>=</m:t>
          </m:r>
          <m:r>
            <m:rPr>
              <m:sty m:val="p"/>
            </m:rPr>
            <m:t>满意度调查表总得分/收回的调查 问卷总份数</m:t>
          </m:r>
        </m:oMath>
      </m:oMathPara>
    </w:p>
    <w:p w14:paraId="17A88D44">
      <w:pPr>
        <w:pStyle w:val="28"/>
        <w:bidi w:val="0"/>
        <w:rPr>
          <w:rFonts w:hint="eastAsia"/>
          <w:lang w:val="en-US" w:eastAsia="zh-CN"/>
        </w:rPr>
      </w:pPr>
      <w:bookmarkStart w:id="6" w:name="_Toc20506"/>
      <w:r>
        <w:rPr>
          <w:rFonts w:hint="eastAsia"/>
          <w:lang w:val="en-US" w:eastAsia="zh-CN"/>
        </w:rPr>
        <w:t>实施责任与分工</w:t>
      </w:r>
      <w:bookmarkEnd w:id="6"/>
    </w:p>
    <w:p w14:paraId="4F6C45CB">
      <w:pPr>
        <w:pStyle w:val="40"/>
        <w:bidi w:val="0"/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准备阶段（10月10日前）： 由运维部编制并最终确认调查表，质量管理部审核。</w:t>
      </w:r>
    </w:p>
    <w:p w14:paraId="76CED910">
      <w:pPr>
        <w:pStyle w:val="40"/>
        <w:bidi w:val="0"/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执行阶段（10月10日-13日）： 由运维部客户经理负责向指定客户发送并回收调查表，确保回收率。</w:t>
      </w:r>
    </w:p>
    <w:p w14:paraId="0A5DC708">
      <w:pPr>
        <w:pStyle w:val="40"/>
        <w:bidi w:val="0"/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汇总分析阶段（10月14日）： 由运维部专员进行数据录入、统计与计算，并撰写《客户满意度调查结果分析报告》。</w:t>
      </w:r>
    </w:p>
    <w:p w14:paraId="0B5F154E">
      <w:pPr>
        <w:pStyle w:val="40"/>
        <w:bidi w:val="0"/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报告与改进（10月14日后）：报告提交管理层审核，并召开专题会议，针对低分项制定改进措施，明确责任人与完成时限。</w:t>
      </w:r>
    </w:p>
    <w:p w14:paraId="7601DA36">
      <w:pPr>
        <w:pStyle w:val="28"/>
        <w:bidi w:val="0"/>
        <w:rPr>
          <w:rFonts w:hint="default"/>
          <w:lang w:val="en-US" w:eastAsia="zh-CN"/>
        </w:rPr>
      </w:pPr>
      <w:bookmarkStart w:id="7" w:name="_Toc3202"/>
      <w:r>
        <w:rPr>
          <w:rFonts w:hint="default"/>
          <w:lang w:val="en-US" w:eastAsia="zh-CN"/>
        </w:rPr>
        <w:t>后续改进</w:t>
      </w:r>
      <w:bookmarkEnd w:id="7"/>
    </w:p>
    <w:p w14:paraId="629B80E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调查结果将作为部门绩效考核与服务改进的重要依据。针对本次调查中发现的共性问题（如服务台用语规范性、合同流程效率等），将纳入公司持续改进计划，进行闭环跟踪管理。</w:t>
      </w:r>
    </w:p>
    <w:sectPr>
      <w:headerReference r:id="rId5" w:type="default"/>
      <w:pgSz w:w="11907" w:h="16840"/>
      <w:pgMar w:top="1240" w:right="1424" w:bottom="0" w:left="178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8B5CAD">
    <w:pPr>
      <w:pStyle w:val="12"/>
      <w:bidi w:val="0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83F6B"/>
    <w:rsid w:val="0A164C9A"/>
    <w:rsid w:val="0F5558E9"/>
    <w:rsid w:val="12383B00"/>
    <w:rsid w:val="1A3A618A"/>
    <w:rsid w:val="2A063491"/>
    <w:rsid w:val="2FBB6ACC"/>
    <w:rsid w:val="335F038B"/>
    <w:rsid w:val="38C81D4B"/>
    <w:rsid w:val="3A40479E"/>
    <w:rsid w:val="3D204412"/>
    <w:rsid w:val="4413082D"/>
    <w:rsid w:val="473F7B8B"/>
    <w:rsid w:val="4F560168"/>
    <w:rsid w:val="4FE359AF"/>
    <w:rsid w:val="53B72485"/>
    <w:rsid w:val="5D845EA0"/>
    <w:rsid w:val="61B9080E"/>
    <w:rsid w:val="72DF21EE"/>
    <w:rsid w:val="75622E4B"/>
    <w:rsid w:val="759A04FF"/>
    <w:rsid w:val="77562203"/>
    <w:rsid w:val="7A454EDD"/>
    <w:rsid w:val="7DF509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uiPriority w:val="0"/>
    <w:tblPr>
      <w:tblStyle w:val="20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Style w:val="2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"/>
    <w:unhideWhenUsed/>
    <w:qFormat/>
    <w:uiPriority w:val="0"/>
    <w:tblPr>
      <w:tblStyle w:val="20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3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character" w:customStyle="1" w:styleId="30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unhideWhenUsed/>
    <w:qFormat/>
    <w:uiPriority w:val="0"/>
    <w:tblPr>
      <w:tblStyle w:val="20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tblStyle w:val="20"/>
      </w:tblPr>
      <w:tcPr>
        <w:tcBorders>
          <w:top w:val="nil"/>
          <w:left w:val="nil"/>
          <w:bottom w:val="single" w:color="auto" w:sz="2" w:space="0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307</Words>
  <Characters>349</Characters>
  <Paragraphs>0</Paragraphs>
  <TotalTime>0</TotalTime>
  <ScaleCrop>false</ScaleCrop>
  <LinksUpToDate>false</LinksUpToDate>
  <CharactersWithSpaces>350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2025-07-01T18:35:00Z</dcterms:created>
  <dc:creator>yin-hong</dc:creator>
  <cp:lastModifiedBy>郝宇</cp:lastModifiedBy>
  <dcterms:modified xsi:type="dcterms:W3CDTF">2026-01-08T08:18:43Z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2025-08-15T01:07:25Z</vt:filetime>
  </property>
  <property fmtid="{D5CDD505-2E9C-101B-9397-08002B2CF9AE}" pid="3" name="CRO">
    <vt:lpwstr>wqlLaW5nc29mdCBQREYgdG8gV1BTIDExNQ</vt:lpwstr>
  </property>
  <property fmtid="{D5CDD505-2E9C-101B-9397-08002B2CF9AE}" pid="4" name="ICV">
    <vt:lpwstr>8D219CD68D0241C9A5376ABA7C49063F_13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