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E75C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6963"/>
    </w:p>
    <w:p w14:paraId="2D62AE6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信息安全管理程序</w:t>
      </w:r>
      <w:bookmarkEnd w:id="0"/>
    </w:p>
    <w:p w14:paraId="2BF4FDB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3114"/>
      <w:r>
        <w:t>甘肃国邦信息科技有限公司</w:t>
      </w:r>
      <w:bookmarkEnd w:id="1"/>
    </w:p>
    <w:p w14:paraId="5A2ED96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ascii="宋体" w:hAnsi="宋体" w:eastAsia="宋体" w:cs="宋体"/>
          <w:sz w:val="30"/>
          <w:szCs w:val="30"/>
        </w:rPr>
        <w:sectPr>
          <w:pgSz w:w="11906" w:h="16839"/>
          <w:pgMar w:top="1431" w:right="1785" w:bottom="0" w:left="1785" w:header="0" w:footer="0" w:gutter="0"/>
          <w:cols w:space="720" w:num="1"/>
        </w:sect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-01-04</w:t>
      </w:r>
    </w:p>
    <w:p w14:paraId="4B144F8A">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2" w:name="_Toc22475"/>
      <w:r>
        <w:rPr>
          <w:rFonts w:ascii="宋体" w:hAnsi="宋体" w:eastAsia="宋体" w:cs="宋体"/>
          <w:spacing w:val="-3"/>
          <w:sz w:val="28"/>
          <w:szCs w:val="28"/>
        </w:rPr>
        <w:t>文档信息</w:t>
      </w:r>
      <w:bookmarkEnd w:id="2"/>
    </w:p>
    <w:tbl>
      <w:tblPr>
        <w:tblStyle w:val="24"/>
        <w:tblW w:w="9071"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182B1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5B058390">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1592F793">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信息安全管理程序（GSGB-ITSS-XXAQGL）</w:t>
            </w:r>
          </w:p>
        </w:tc>
      </w:tr>
      <w:tr w14:paraId="4AF86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2390DFF8">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3246BB8E">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61469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3809E609">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565A1D55">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13B5CCE5">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0F90D810">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6"/>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6ACDBB64">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5"/>
              <w:textAlignment w:val="baseline"/>
              <w:rPr>
                <w:rFonts w:ascii="宋体" w:hAnsi="宋体" w:eastAsia="宋体" w:cs="宋体"/>
                <w:sz w:val="24"/>
                <w:szCs w:val="24"/>
              </w:rPr>
            </w:pPr>
            <w:r>
              <w:rPr>
                <w:rFonts w:ascii="宋体" w:hAnsi="宋体" w:eastAsia="宋体" w:cs="宋体"/>
                <w:spacing w:val="-6"/>
                <w:sz w:val="24"/>
                <w:szCs w:val="24"/>
              </w:rPr>
              <w:t>审核</w:t>
            </w:r>
          </w:p>
        </w:tc>
      </w:tr>
      <w:tr w14:paraId="5A51F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5B57032">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6D4974AB">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57B7C73E">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EE12DF9">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480"/>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3ABD22AE">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2"/>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57D1D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248B0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6BAF4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C127D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84C9D6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97A16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12F7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A3C6C1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DF2F4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82ABB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7275A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9F458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1CFF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1807E3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36450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B2994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920F02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EB2FF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B2D6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12C646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168299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B66EE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64E8F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B0568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DE3C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5558CF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BCA92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E85B4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EF9EE8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1582E7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23EE6E2">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3FCFBE3">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029" w:bottom="1374" w:left="1785" w:header="0" w:footer="1211" w:gutter="0"/>
          <w:cols w:space="720" w:num="1"/>
        </w:sectPr>
      </w:pPr>
    </w:p>
    <w:sdt>
      <w:sdtPr>
        <w:rPr>
          <w:rFonts w:ascii="宋体" w:hAnsi="宋体" w:eastAsia="宋体" w:cs="Arial"/>
          <w:snapToGrid w:val="0"/>
          <w:color w:val="000000"/>
          <w:kern w:val="0"/>
          <w:sz w:val="21"/>
          <w:szCs w:val="21"/>
          <w:lang w:val="en-US" w:eastAsia="en-US" w:bidi="ar-SA"/>
        </w:rPr>
        <w:id w:val="147462791"/>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029A54D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096A128">
          <w:pPr>
            <w:pStyle w:val="16"/>
            <w:tabs>
              <w:tab w:val="right" w:leader="dot" w:pos="8336"/>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_Toc26963 </w:instrText>
          </w:r>
          <w:r>
            <w:rPr>
              <w:rFonts w:hint="eastAsia" w:ascii="Microsoft JhengHei" w:hAnsi="Microsoft JhengHei" w:eastAsia="Microsoft JhengHei" w:cs="Microsoft JhengHei"/>
              <w:szCs w:val="24"/>
            </w:rPr>
            <w:fldChar w:fldCharType="separate"/>
          </w:r>
          <w:r>
            <w:t>信息安全管理程序</w:t>
          </w:r>
          <w:r>
            <w:tab/>
          </w:r>
          <w:r>
            <w:fldChar w:fldCharType="begin"/>
          </w:r>
          <w:r>
            <w:instrText xml:space="preserve"> PAGEREF _Toc26963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9BC8181">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_Toc23114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_Toc23114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57234B3">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_Toc22475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_Toc22475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474CC97C">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_Toc28296 </w:instrText>
          </w:r>
          <w:r>
            <w:rPr>
              <w:rFonts w:hint="eastAsia" w:ascii="Microsoft JhengHei" w:hAnsi="Microsoft JhengHei" w:eastAsia="Microsoft JhengHei" w:cs="Microsoft JhengHei"/>
              <w:szCs w:val="24"/>
            </w:rPr>
            <w:fldChar w:fldCharType="separate"/>
          </w:r>
          <w:r>
            <w:rPr>
              <w:rFonts w:hint="default"/>
            </w:rPr>
            <w:t xml:space="preserve">1. </w:t>
          </w:r>
          <w:r>
            <w:t>概述</w:t>
          </w:r>
          <w:r>
            <w:tab/>
          </w:r>
          <w:r>
            <w:fldChar w:fldCharType="begin"/>
          </w:r>
          <w:r>
            <w:instrText xml:space="preserve"> PAGEREF _Toc28296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D90BBF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_Toc15170 </w:instrText>
          </w:r>
          <w:r>
            <w:rPr>
              <w:rFonts w:hint="eastAsia" w:ascii="Microsoft JhengHei" w:hAnsi="Microsoft JhengHei" w:eastAsia="Microsoft JhengHei" w:cs="Microsoft JhengHei"/>
              <w:szCs w:val="24"/>
            </w:rPr>
            <w:fldChar w:fldCharType="separate"/>
          </w:r>
          <w:r>
            <w:rPr>
              <w:rFonts w:hint="default"/>
            </w:rPr>
            <w:t xml:space="preserve">1.1. </w:t>
          </w:r>
          <w:r>
            <w:t>目的</w:t>
          </w:r>
          <w:r>
            <w:tab/>
          </w:r>
          <w:r>
            <w:fldChar w:fldCharType="begin"/>
          </w:r>
          <w:r>
            <w:instrText xml:space="preserve"> PAGEREF _Toc15170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C4826C0">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_Toc9779 </w:instrText>
          </w:r>
          <w:r>
            <w:rPr>
              <w:rFonts w:hint="eastAsia" w:ascii="Microsoft JhengHei" w:hAnsi="Microsoft JhengHei" w:eastAsia="Microsoft JhengHei" w:cs="Microsoft JhengHei"/>
              <w:szCs w:val="24"/>
            </w:rPr>
            <w:fldChar w:fldCharType="separate"/>
          </w:r>
          <w:r>
            <w:rPr>
              <w:rFonts w:hint="default"/>
            </w:rPr>
            <w:t xml:space="preserve">1.2. </w:t>
          </w:r>
          <w:r>
            <w:t>范围</w:t>
          </w:r>
          <w:r>
            <w:tab/>
          </w:r>
          <w:r>
            <w:fldChar w:fldCharType="begin"/>
          </w:r>
          <w:r>
            <w:instrText xml:space="preserve"> PAGEREF _Toc9779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79C37C2">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_Toc1835 </w:instrText>
          </w:r>
          <w:r>
            <w:rPr>
              <w:rFonts w:hint="eastAsia" w:ascii="Microsoft JhengHei" w:hAnsi="Microsoft JhengHei" w:eastAsia="Microsoft JhengHei" w:cs="Microsoft JhengHei"/>
              <w:szCs w:val="24"/>
            </w:rPr>
            <w:fldChar w:fldCharType="separate"/>
          </w:r>
          <w:r>
            <w:rPr>
              <w:rFonts w:hint="default"/>
            </w:rPr>
            <w:t xml:space="preserve">2. </w:t>
          </w:r>
          <w:r>
            <w:t>术语、缩略词和定义</w:t>
          </w:r>
          <w:r>
            <w:tab/>
          </w:r>
          <w:r>
            <w:fldChar w:fldCharType="begin"/>
          </w:r>
          <w:r>
            <w:instrText xml:space="preserve"> PAGEREF _Toc1835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7F4A94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_Toc5895 </w:instrText>
          </w:r>
          <w:r>
            <w:rPr>
              <w:rFonts w:hint="eastAsia" w:ascii="Microsoft JhengHei" w:hAnsi="Microsoft JhengHei" w:eastAsia="Microsoft JhengHei" w:cs="Microsoft JhengHei"/>
              <w:szCs w:val="24"/>
            </w:rPr>
            <w:fldChar w:fldCharType="separate"/>
          </w:r>
          <w:r>
            <w:rPr>
              <w:rFonts w:hint="default"/>
            </w:rPr>
            <w:t xml:space="preserve">2.1. </w:t>
          </w:r>
          <w:r>
            <w:t>角色与职责</w:t>
          </w:r>
          <w:r>
            <w:tab/>
          </w:r>
          <w:r>
            <w:fldChar w:fldCharType="begin"/>
          </w:r>
          <w:r>
            <w:instrText xml:space="preserve"> PAGEREF _Toc5895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62FE15D">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_Toc3609 </w:instrText>
          </w:r>
          <w:r>
            <w:rPr>
              <w:rFonts w:hint="eastAsia" w:ascii="Microsoft JhengHei" w:hAnsi="Microsoft JhengHei" w:eastAsia="Microsoft JhengHei" w:cs="Microsoft JhengHei"/>
              <w:szCs w:val="24"/>
            </w:rPr>
            <w:fldChar w:fldCharType="separate"/>
          </w:r>
          <w:r>
            <w:rPr>
              <w:rFonts w:hint="default"/>
            </w:rPr>
            <w:t xml:space="preserve">3. </w:t>
          </w:r>
          <w:r>
            <w:t>信息安全管理</w:t>
          </w:r>
          <w:r>
            <w:tab/>
          </w:r>
          <w:r>
            <w:fldChar w:fldCharType="begin"/>
          </w:r>
          <w:r>
            <w:instrText xml:space="preserve"> PAGEREF _Toc3609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13B6EE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_Toc14367 </w:instrText>
          </w:r>
          <w:r>
            <w:rPr>
              <w:rFonts w:hint="eastAsia" w:ascii="Microsoft JhengHei" w:hAnsi="Microsoft JhengHei" w:eastAsia="Microsoft JhengHei" w:cs="Microsoft JhengHei"/>
              <w:szCs w:val="24"/>
            </w:rPr>
            <w:fldChar w:fldCharType="separate"/>
          </w:r>
          <w:r>
            <w:rPr>
              <w:rFonts w:hint="default"/>
            </w:rPr>
            <w:t xml:space="preserve">3.1. </w:t>
          </w:r>
          <w:r>
            <w:t>资产识别</w:t>
          </w:r>
          <w:r>
            <w:tab/>
          </w:r>
          <w:r>
            <w:fldChar w:fldCharType="begin"/>
          </w:r>
          <w:r>
            <w:instrText xml:space="preserve"> PAGEREF _Toc14367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70D5741">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_Toc17099 </w:instrText>
          </w:r>
          <w:r>
            <w:rPr>
              <w:rFonts w:hint="eastAsia" w:ascii="Microsoft JhengHei" w:hAnsi="Microsoft JhengHei" w:eastAsia="Microsoft JhengHei" w:cs="Microsoft JhengHei"/>
              <w:szCs w:val="24"/>
            </w:rPr>
            <w:fldChar w:fldCharType="separate"/>
          </w:r>
          <w:r>
            <w:rPr>
              <w:rFonts w:hint="default"/>
            </w:rPr>
            <w:t xml:space="preserve">3.2. </w:t>
          </w:r>
          <w:r>
            <w:t>风险识别</w:t>
          </w:r>
          <w:r>
            <w:tab/>
          </w:r>
          <w:r>
            <w:fldChar w:fldCharType="begin"/>
          </w:r>
          <w:r>
            <w:instrText xml:space="preserve"> PAGEREF _Toc17099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2A55FCB">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_Toc9529 </w:instrText>
          </w:r>
          <w:r>
            <w:rPr>
              <w:rFonts w:hint="eastAsia" w:ascii="Microsoft JhengHei" w:hAnsi="Microsoft JhengHei" w:eastAsia="Microsoft JhengHei" w:cs="Microsoft JhengHei"/>
              <w:szCs w:val="24"/>
            </w:rPr>
            <w:fldChar w:fldCharType="separate"/>
          </w:r>
          <w:r>
            <w:rPr>
              <w:rFonts w:hint="default"/>
            </w:rPr>
            <w:t xml:space="preserve">3.2.1. </w:t>
          </w:r>
          <w:r>
            <w:t>识别风险</w:t>
          </w:r>
          <w:r>
            <w:tab/>
          </w:r>
          <w:r>
            <w:fldChar w:fldCharType="begin"/>
          </w:r>
          <w:r>
            <w:instrText xml:space="preserve"> PAGEREF _Toc9529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1DC1DBD">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_Toc24715 </w:instrText>
          </w:r>
          <w:r>
            <w:rPr>
              <w:rFonts w:hint="eastAsia" w:ascii="Microsoft JhengHei" w:hAnsi="Microsoft JhengHei" w:eastAsia="Microsoft JhengHei" w:cs="Microsoft JhengHei"/>
              <w:szCs w:val="24"/>
            </w:rPr>
            <w:fldChar w:fldCharType="separate"/>
          </w:r>
          <w:r>
            <w:rPr>
              <w:rFonts w:hint="default"/>
            </w:rPr>
            <w:t xml:space="preserve">3.2.2. </w:t>
          </w:r>
          <w:r>
            <w:t>确认已经存在的风险防范措施</w:t>
          </w:r>
          <w:r>
            <w:tab/>
          </w:r>
          <w:r>
            <w:fldChar w:fldCharType="begin"/>
          </w:r>
          <w:r>
            <w:instrText xml:space="preserve"> PAGEREF _Toc24715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9D7A20E">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_Toc2292 </w:instrText>
          </w:r>
          <w:r>
            <w:rPr>
              <w:rFonts w:hint="eastAsia" w:ascii="Microsoft JhengHei" w:hAnsi="Microsoft JhengHei" w:eastAsia="Microsoft JhengHei" w:cs="Microsoft JhengHei"/>
              <w:szCs w:val="24"/>
            </w:rPr>
            <w:fldChar w:fldCharType="separate"/>
          </w:r>
          <w:r>
            <w:rPr>
              <w:rFonts w:hint="default"/>
            </w:rPr>
            <w:t xml:space="preserve">3.3. </w:t>
          </w:r>
          <w:r>
            <w:t>风险分析及判定</w:t>
          </w:r>
          <w:r>
            <w:tab/>
          </w:r>
          <w:r>
            <w:fldChar w:fldCharType="begin"/>
          </w:r>
          <w:r>
            <w:instrText xml:space="preserve"> PAGEREF _Toc2292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7C53690">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_Toc14860 </w:instrText>
          </w:r>
          <w:r>
            <w:rPr>
              <w:rFonts w:hint="eastAsia" w:ascii="Microsoft JhengHei" w:hAnsi="Microsoft JhengHei" w:eastAsia="Microsoft JhengHei" w:cs="Microsoft JhengHei"/>
              <w:szCs w:val="24"/>
            </w:rPr>
            <w:fldChar w:fldCharType="separate"/>
          </w:r>
          <w:r>
            <w:rPr>
              <w:rFonts w:hint="default"/>
            </w:rPr>
            <w:t xml:space="preserve">3.4. </w:t>
          </w:r>
          <w:r>
            <w:t>超过可接受风险的处置</w:t>
          </w:r>
          <w:r>
            <w:tab/>
          </w:r>
          <w:r>
            <w:fldChar w:fldCharType="begin"/>
          </w:r>
          <w:r>
            <w:instrText xml:space="preserve"> PAGEREF _Toc14860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97894A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_Toc15231 </w:instrText>
          </w:r>
          <w:r>
            <w:rPr>
              <w:rFonts w:hint="eastAsia" w:ascii="Microsoft JhengHei" w:hAnsi="Microsoft JhengHei" w:eastAsia="Microsoft JhengHei" w:cs="Microsoft JhengHei"/>
              <w:szCs w:val="24"/>
            </w:rPr>
            <w:fldChar w:fldCharType="separate"/>
          </w:r>
          <w:r>
            <w:rPr>
              <w:rFonts w:hint="default"/>
            </w:rPr>
            <w:t xml:space="preserve">3.5. </w:t>
          </w:r>
          <w:r>
            <w:t>定期评估、改进</w:t>
          </w:r>
          <w:r>
            <w:tab/>
          </w:r>
          <w:r>
            <w:fldChar w:fldCharType="begin"/>
          </w:r>
          <w:r>
            <w:instrText xml:space="preserve"> PAGEREF _Toc15231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30DB82C">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_Toc32226 </w:instrText>
          </w:r>
          <w:r>
            <w:rPr>
              <w:rFonts w:hint="eastAsia" w:ascii="Microsoft JhengHei" w:hAnsi="Microsoft JhengHei" w:eastAsia="Microsoft JhengHei" w:cs="Microsoft JhengHei"/>
              <w:szCs w:val="24"/>
            </w:rPr>
            <w:fldChar w:fldCharType="separate"/>
          </w:r>
          <w:r>
            <w:rPr>
              <w:rFonts w:hint="default"/>
            </w:rPr>
            <w:t xml:space="preserve">3.6. </w:t>
          </w:r>
          <w:r>
            <w:t>信息安全事件</w:t>
          </w:r>
          <w:r>
            <w:tab/>
          </w:r>
          <w:r>
            <w:fldChar w:fldCharType="begin"/>
          </w:r>
          <w:r>
            <w:instrText xml:space="preserve"> PAGEREF _Toc32226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43C730E">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_Toc5049 </w:instrText>
          </w:r>
          <w:r>
            <w:rPr>
              <w:rFonts w:hint="eastAsia" w:ascii="Microsoft JhengHei" w:hAnsi="Microsoft JhengHei" w:eastAsia="Microsoft JhengHei" w:cs="Microsoft JhengHei"/>
              <w:szCs w:val="24"/>
            </w:rPr>
            <w:fldChar w:fldCharType="separate"/>
          </w:r>
          <w:r>
            <w:rPr>
              <w:rFonts w:hint="default"/>
            </w:rPr>
            <w:t xml:space="preserve">3.7. </w:t>
          </w:r>
          <w:r>
            <w:t>信息安全事件分析</w:t>
          </w:r>
          <w:r>
            <w:tab/>
          </w:r>
          <w:r>
            <w:fldChar w:fldCharType="begin"/>
          </w:r>
          <w:r>
            <w:instrText xml:space="preserve"> PAGEREF _Toc5049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473D07B">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_Toc26531 </w:instrText>
          </w:r>
          <w:r>
            <w:rPr>
              <w:rFonts w:hint="eastAsia" w:ascii="Microsoft JhengHei" w:hAnsi="Microsoft JhengHei" w:eastAsia="Microsoft JhengHei" w:cs="Microsoft JhengHei"/>
              <w:szCs w:val="24"/>
            </w:rPr>
            <w:fldChar w:fldCharType="separate"/>
          </w:r>
          <w:r>
            <w:rPr>
              <w:rFonts w:hint="default"/>
            </w:rPr>
            <w:t xml:space="preserve">4. </w:t>
          </w:r>
          <w:r>
            <w:t>信息安全方针</w:t>
          </w:r>
          <w:r>
            <w:tab/>
          </w:r>
          <w:r>
            <w:fldChar w:fldCharType="begin"/>
          </w:r>
          <w:r>
            <w:instrText xml:space="preserve"> PAGEREF _Toc26531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DD1751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_Toc26183 </w:instrText>
          </w:r>
          <w:r>
            <w:rPr>
              <w:rFonts w:hint="eastAsia" w:ascii="Microsoft JhengHei" w:hAnsi="Microsoft JhengHei" w:eastAsia="Microsoft JhengHei" w:cs="Microsoft JhengHei"/>
              <w:szCs w:val="24"/>
            </w:rPr>
            <w:fldChar w:fldCharType="separate"/>
          </w:r>
          <w:r>
            <w:rPr>
              <w:rFonts w:hint="default"/>
            </w:rPr>
            <w:t xml:space="preserve">4.1. </w:t>
          </w:r>
          <w:r>
            <w:t>签署保密协议</w:t>
          </w:r>
          <w:r>
            <w:tab/>
          </w:r>
          <w:r>
            <w:fldChar w:fldCharType="begin"/>
          </w:r>
          <w:r>
            <w:instrText xml:space="preserve"> PAGEREF _Toc26183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949CCD4">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_Toc2849 </w:instrText>
          </w:r>
          <w:r>
            <w:rPr>
              <w:rFonts w:hint="eastAsia" w:ascii="Microsoft JhengHei" w:hAnsi="Microsoft JhengHei" w:eastAsia="Microsoft JhengHei" w:cs="Microsoft JhengHei"/>
              <w:szCs w:val="24"/>
            </w:rPr>
            <w:fldChar w:fldCharType="separate"/>
          </w:r>
          <w:r>
            <w:rPr>
              <w:rFonts w:hint="default"/>
            </w:rPr>
            <w:t xml:space="preserve">4.2. </w:t>
          </w:r>
          <w:r>
            <w:t>与第三方签署安全保密协议</w:t>
          </w:r>
          <w:r>
            <w:tab/>
          </w:r>
          <w:r>
            <w:fldChar w:fldCharType="begin"/>
          </w:r>
          <w:r>
            <w:instrText xml:space="preserve"> PAGEREF _Toc2849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364B755">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_Toc19056 </w:instrText>
          </w:r>
          <w:r>
            <w:rPr>
              <w:rFonts w:hint="eastAsia" w:ascii="Microsoft JhengHei" w:hAnsi="Microsoft JhengHei" w:eastAsia="Microsoft JhengHei" w:cs="Microsoft JhengHei"/>
              <w:szCs w:val="24"/>
            </w:rPr>
            <w:fldChar w:fldCharType="separate"/>
          </w:r>
          <w:r>
            <w:rPr>
              <w:rFonts w:hint="default"/>
              <w:lang w:val="en-US" w:eastAsia="zh-CN"/>
            </w:rPr>
            <w:t>5. 关键指标</w:t>
          </w:r>
          <w:r>
            <w:tab/>
          </w:r>
          <w:r>
            <w:fldChar w:fldCharType="begin"/>
          </w:r>
          <w:r>
            <w:instrText xml:space="preserve"> PAGEREF _Toc19056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FAE7BDC">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_Toc4701 </w:instrText>
          </w:r>
          <w:r>
            <w:rPr>
              <w:rFonts w:hint="eastAsia" w:ascii="Microsoft JhengHei" w:hAnsi="Microsoft JhengHei" w:eastAsia="Microsoft JhengHei" w:cs="Microsoft JhengHei"/>
              <w:szCs w:val="24"/>
            </w:rPr>
            <w:fldChar w:fldCharType="separate"/>
          </w:r>
          <w:r>
            <w:rPr>
              <w:rFonts w:hint="default"/>
            </w:rPr>
            <w:t xml:space="preserve">6. </w:t>
          </w:r>
          <w:r>
            <w:t>相关文件及模板</w:t>
          </w:r>
          <w:r>
            <w:tab/>
          </w:r>
          <w:r>
            <w:fldChar w:fldCharType="begin"/>
          </w:r>
          <w:r>
            <w:instrText xml:space="preserve"> PAGEREF _Toc4701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43CA86D">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74FCEDE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sectPr>
          <w:footerReference r:id="rId6" w:type="default"/>
          <w:pgSz w:w="11906" w:h="16839"/>
          <w:pgMar w:top="1431" w:right="1785" w:bottom="1375" w:left="1785" w:header="0" w:footer="1211" w:gutter="0"/>
          <w:cols w:space="720" w:num="1"/>
        </w:sectPr>
      </w:pPr>
    </w:p>
    <w:p w14:paraId="5F8E45FD">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8296"/>
      <w:r>
        <w:t>概述</w:t>
      </w:r>
      <w:bookmarkEnd w:id="3"/>
    </w:p>
    <w:p w14:paraId="00DDCD1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16"/>
      <w:bookmarkEnd w:id="4"/>
      <w:bookmarkStart w:id="5" w:name="_Toc15170"/>
      <w:r>
        <w:t>目的</w:t>
      </w:r>
      <w:bookmarkEnd w:id="5"/>
    </w:p>
    <w:p w14:paraId="429962F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本文档编写的目的是为了规范 IT 服务团队对用户信息系统的安全性管理。所有的信息安全技术都是为了达到一定的安全目标，其核心包括：保密性、完整性、可用性、可控性和不可否认性五个安全目标。</w:t>
      </w:r>
    </w:p>
    <w:p w14:paraId="1AD06DA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保密性（Confidentiality）：是指阻止非授权的主体阅读信息。它是信息安全一诞生就具有的特性，也是信息安全主要的研究内容之一。对纸质文档信息，我们只需要保护好文件，不被非授权者接触即可。而对计算机及网络环境中的信息，不仅要制止非授权者对信息的阅读，也要阻止授权者将其访问的信息传递给非授权者，以致信息被泄漏。</w:t>
      </w:r>
    </w:p>
    <w:p w14:paraId="00C35B1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完整性（Integrity）：是指防止信息被未经授权的篡改。它是保护信息保持原始的状态，使信息保持其真实性。如果这些信息被蓄意地修改、插入、</w:t>
      </w:r>
    </w:p>
    <w:p w14:paraId="5308F41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删除等，形成虚假信息将带来严重的后果。</w:t>
      </w:r>
    </w:p>
    <w:p w14:paraId="1817ED5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可用性（Usability）：是指授权主体在需要信息时能及时得到服务的能力。可用性是在信息安全保护阶段对信息安全提出的新要求，也是在网络化空间中必须满足的一项信息安全要求。</w:t>
      </w:r>
    </w:p>
    <w:p w14:paraId="76060C9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可控性（Controllability）：是指对信息和信息系统实施安全监控管理，防止非法利用信息和信息系统。</w:t>
      </w:r>
    </w:p>
    <w:p w14:paraId="51595C6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不可否认性（Non-repudiation）：是指在网络环境中，信息交换的双方不能否认其在交换过程中发送信息或接收信息的行为。</w:t>
      </w:r>
    </w:p>
    <w:p w14:paraId="0433A96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9779"/>
      <w:r>
        <w:t>范围</w:t>
      </w:r>
      <w:bookmarkEnd w:id="6"/>
    </w:p>
    <w:p w14:paraId="11548B1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本文档适用于运维部所有服务对象；用于进行关键资产的识别、风险识别和评估的管理。</w:t>
      </w:r>
    </w:p>
    <w:p w14:paraId="7557124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6B776DD">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835"/>
      <w:r>
        <w:t>术语、缩略词和定义</w:t>
      </w:r>
      <w:bookmarkEnd w:id="7"/>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0"/>
        <w:gridCol w:w="1839"/>
        <w:gridCol w:w="5513"/>
      </w:tblGrid>
      <w:tr w14:paraId="66B82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170" w:type="dxa"/>
            <w:shd w:val="clear" w:color="auto" w:fill="C0C0C0"/>
          </w:tcPr>
          <w:p w14:paraId="01847569">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377"/>
              <w:textAlignment w:val="baseline"/>
              <w:rPr>
                <w:rFonts w:ascii="宋体" w:hAnsi="宋体" w:eastAsia="宋体" w:cs="宋体"/>
                <w:sz w:val="21"/>
                <w:szCs w:val="21"/>
              </w:rPr>
            </w:pPr>
            <w:r>
              <w:rPr>
                <w:rFonts w:ascii="宋体" w:hAnsi="宋体" w:eastAsia="宋体" w:cs="宋体"/>
                <w:b/>
                <w:bCs/>
                <w:spacing w:val="-5"/>
                <w:sz w:val="21"/>
                <w:szCs w:val="21"/>
              </w:rPr>
              <w:t>术语</w:t>
            </w:r>
          </w:p>
        </w:tc>
        <w:tc>
          <w:tcPr>
            <w:tcW w:w="1839" w:type="dxa"/>
            <w:shd w:val="clear" w:color="auto" w:fill="C0C0C0"/>
          </w:tcPr>
          <w:p w14:paraId="252D966D">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04"/>
              <w:textAlignment w:val="baseline"/>
              <w:rPr>
                <w:rFonts w:ascii="宋体" w:hAnsi="宋体" w:eastAsia="宋体" w:cs="宋体"/>
                <w:sz w:val="21"/>
                <w:szCs w:val="21"/>
              </w:rPr>
            </w:pPr>
            <w:r>
              <w:rPr>
                <w:rFonts w:ascii="宋体" w:hAnsi="宋体" w:eastAsia="宋体" w:cs="宋体"/>
                <w:b/>
                <w:bCs/>
                <w:spacing w:val="-5"/>
                <w:sz w:val="21"/>
                <w:szCs w:val="21"/>
              </w:rPr>
              <w:t>缩略词</w:t>
            </w:r>
          </w:p>
        </w:tc>
        <w:tc>
          <w:tcPr>
            <w:tcW w:w="5513" w:type="dxa"/>
            <w:shd w:val="clear" w:color="auto" w:fill="C0C0C0"/>
          </w:tcPr>
          <w:p w14:paraId="227F1E56">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2553"/>
              <w:textAlignment w:val="baseline"/>
              <w:rPr>
                <w:rFonts w:ascii="宋体" w:hAnsi="宋体" w:eastAsia="宋体" w:cs="宋体"/>
                <w:sz w:val="21"/>
                <w:szCs w:val="21"/>
              </w:rPr>
            </w:pPr>
            <w:r>
              <w:rPr>
                <w:rFonts w:ascii="宋体" w:hAnsi="宋体" w:eastAsia="宋体" w:cs="宋体"/>
                <w:b/>
                <w:bCs/>
                <w:spacing w:val="-6"/>
                <w:sz w:val="21"/>
                <w:szCs w:val="21"/>
              </w:rPr>
              <w:t>定义</w:t>
            </w:r>
          </w:p>
        </w:tc>
      </w:tr>
      <w:tr w14:paraId="260D7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6" w:hRule="atLeast"/>
        </w:trPr>
        <w:tc>
          <w:tcPr>
            <w:tcW w:w="1170" w:type="dxa"/>
          </w:tcPr>
          <w:p w14:paraId="3F9D3599">
            <w:pPr>
              <w:pStyle w:val="25"/>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5EF08B6">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3C6041A2">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0D967937">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216"/>
              <w:textAlignment w:val="baseline"/>
              <w:rPr>
                <w:rFonts w:ascii="宋体" w:hAnsi="宋体" w:eastAsia="宋体" w:cs="宋体"/>
                <w:sz w:val="21"/>
                <w:szCs w:val="21"/>
              </w:rPr>
            </w:pPr>
            <w:r>
              <w:rPr>
                <w:rFonts w:ascii="宋体" w:hAnsi="宋体" w:eastAsia="宋体" w:cs="宋体"/>
                <w:spacing w:val="-2"/>
                <w:sz w:val="21"/>
                <w:szCs w:val="21"/>
              </w:rPr>
              <w:t>信息安全</w:t>
            </w:r>
          </w:p>
        </w:tc>
        <w:tc>
          <w:tcPr>
            <w:tcW w:w="1839" w:type="dxa"/>
          </w:tcPr>
          <w:p w14:paraId="0E87DEAE">
            <w:pPr>
              <w:pStyle w:val="25"/>
              <w:keepNext w:val="0"/>
              <w:keepLines w:val="0"/>
              <w:pageBreakBefore w:val="0"/>
              <w:widowControl w:val="0"/>
              <w:kinsoku w:val="0"/>
              <w:wordWrap/>
              <w:overflowPunct/>
              <w:topLinePunct w:val="0"/>
              <w:autoSpaceDE w:val="0"/>
              <w:autoSpaceDN w:val="0"/>
              <w:bidi w:val="0"/>
              <w:adjustRightInd w:val="0"/>
              <w:snapToGrid w:val="0"/>
              <w:spacing w:line="438" w:lineRule="auto"/>
              <w:textAlignment w:val="baseline"/>
            </w:pPr>
          </w:p>
          <w:p w14:paraId="114F85AC">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82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IS</w:t>
            </w:r>
          </w:p>
          <w:p w14:paraId="07A28FD0">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8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(Information</w:t>
            </w:r>
          </w:p>
          <w:p w14:paraId="4D1073D2">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54"/>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security)</w:t>
            </w:r>
          </w:p>
        </w:tc>
        <w:tc>
          <w:tcPr>
            <w:tcW w:w="5513" w:type="dxa"/>
          </w:tcPr>
          <w:p w14:paraId="02499045">
            <w:pPr>
              <w:keepNext w:val="0"/>
              <w:keepLines w:val="0"/>
              <w:pageBreakBefore w:val="0"/>
              <w:widowControl w:val="0"/>
              <w:kinsoku w:val="0"/>
              <w:wordWrap/>
              <w:overflowPunct/>
              <w:topLinePunct w:val="0"/>
              <w:autoSpaceDE w:val="0"/>
              <w:autoSpaceDN w:val="0"/>
              <w:bidi w:val="0"/>
              <w:adjustRightInd w:val="0"/>
              <w:snapToGrid w:val="0"/>
              <w:spacing w:before="78" w:line="265" w:lineRule="auto"/>
              <w:ind w:left="109" w:right="122"/>
              <w:jc w:val="both"/>
              <w:textAlignment w:val="baseline"/>
              <w:rPr>
                <w:rFonts w:ascii="宋体" w:hAnsi="宋体" w:eastAsia="宋体" w:cs="宋体"/>
                <w:sz w:val="24"/>
                <w:szCs w:val="24"/>
              </w:rPr>
            </w:pPr>
            <w:r>
              <w:rPr>
                <w:rFonts w:ascii="宋体" w:hAnsi="宋体" w:eastAsia="宋体" w:cs="宋体"/>
                <w:spacing w:val="-1"/>
                <w:sz w:val="24"/>
                <w:szCs w:val="24"/>
              </w:rPr>
              <w:t>信息安全是指信息网络的硬件、软件及其系统中的数据受到保护，不受偶然的或者恶意的原因而遭到破坏、更改、泄露，系统连续可靠正常地运行，信息服务不中断。它是一门涉及计算机科学、网络技术、通信技术、密码技术、信息安全技术、应用数</w:t>
            </w:r>
            <w:r>
              <w:rPr>
                <w:rFonts w:ascii="宋体" w:hAnsi="宋体" w:eastAsia="宋体" w:cs="宋体"/>
                <w:spacing w:val="-3"/>
                <w:sz w:val="24"/>
                <w:szCs w:val="24"/>
              </w:rPr>
              <w:t>学、数论、信息论等多种学科的综合性学科。</w:t>
            </w:r>
          </w:p>
        </w:tc>
      </w:tr>
      <w:tr w14:paraId="6B08A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9" w:hRule="atLeast"/>
        </w:trPr>
        <w:tc>
          <w:tcPr>
            <w:tcW w:w="1170" w:type="dxa"/>
          </w:tcPr>
          <w:p w14:paraId="5AFFDE54">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74874D9A">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6FAD86EA">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63B3C82F">
            <w:pPr>
              <w:keepNext w:val="0"/>
              <w:keepLines w:val="0"/>
              <w:pageBreakBefore w:val="0"/>
              <w:widowControl w:val="0"/>
              <w:kinsoku w:val="0"/>
              <w:wordWrap/>
              <w:overflowPunct/>
              <w:topLinePunct w:val="0"/>
              <w:autoSpaceDE w:val="0"/>
              <w:autoSpaceDN w:val="0"/>
              <w:bidi w:val="0"/>
              <w:adjustRightInd w:val="0"/>
              <w:snapToGrid w:val="0"/>
              <w:spacing w:before="68" w:line="319" w:lineRule="auto"/>
              <w:ind w:left="381" w:right="162" w:hanging="215"/>
              <w:textAlignment w:val="baseline"/>
              <w:rPr>
                <w:rFonts w:ascii="宋体" w:hAnsi="宋体" w:eastAsia="宋体" w:cs="宋体"/>
                <w:sz w:val="21"/>
                <w:szCs w:val="21"/>
              </w:rPr>
            </w:pPr>
            <w:r>
              <w:rPr>
                <w:rFonts w:ascii="宋体" w:hAnsi="宋体" w:eastAsia="宋体" w:cs="宋体"/>
                <w:spacing w:val="-3"/>
                <w:sz w:val="21"/>
                <w:szCs w:val="21"/>
              </w:rPr>
              <w:t>信息安全</w:t>
            </w:r>
            <w:r>
              <w:rPr>
                <w:rFonts w:ascii="宋体" w:hAnsi="宋体" w:eastAsia="宋体" w:cs="宋体"/>
                <w:spacing w:val="-4"/>
                <w:sz w:val="21"/>
                <w:szCs w:val="21"/>
              </w:rPr>
              <w:t>管理</w:t>
            </w:r>
          </w:p>
        </w:tc>
        <w:tc>
          <w:tcPr>
            <w:tcW w:w="1839" w:type="dxa"/>
          </w:tcPr>
          <w:p w14:paraId="3730A6BF">
            <w:pPr>
              <w:pStyle w:val="25"/>
              <w:keepNext w:val="0"/>
              <w:keepLines w:val="0"/>
              <w:pageBreakBefore w:val="0"/>
              <w:widowControl w:val="0"/>
              <w:kinsoku w:val="0"/>
              <w:wordWrap/>
              <w:overflowPunct/>
              <w:topLinePunct w:val="0"/>
              <w:autoSpaceDE w:val="0"/>
              <w:autoSpaceDN w:val="0"/>
              <w:bidi w:val="0"/>
              <w:adjustRightInd w:val="0"/>
              <w:snapToGrid w:val="0"/>
              <w:spacing w:line="442" w:lineRule="auto"/>
              <w:textAlignment w:val="baseline"/>
            </w:pPr>
          </w:p>
          <w:p w14:paraId="13A2B811">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73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ISM</w:t>
            </w:r>
          </w:p>
          <w:p w14:paraId="04747FBA">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8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(Information</w:t>
            </w:r>
          </w:p>
          <w:p w14:paraId="355F4696">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89"/>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security</w:t>
            </w:r>
          </w:p>
          <w:p w14:paraId="75AFC3FC">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41"/>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management)</w:t>
            </w:r>
          </w:p>
        </w:tc>
        <w:tc>
          <w:tcPr>
            <w:tcW w:w="5513" w:type="dxa"/>
          </w:tcPr>
          <w:p w14:paraId="3B3386B8">
            <w:pPr>
              <w:keepNext w:val="0"/>
              <w:keepLines w:val="0"/>
              <w:pageBreakBefore w:val="0"/>
              <w:widowControl w:val="0"/>
              <w:kinsoku w:val="0"/>
              <w:wordWrap/>
              <w:overflowPunct/>
              <w:topLinePunct w:val="0"/>
              <w:autoSpaceDE w:val="0"/>
              <w:autoSpaceDN w:val="0"/>
              <w:bidi w:val="0"/>
              <w:adjustRightInd w:val="0"/>
              <w:snapToGrid w:val="0"/>
              <w:spacing w:before="81" w:line="277" w:lineRule="auto"/>
              <w:ind w:left="111" w:hanging="1"/>
              <w:jc w:val="both"/>
              <w:textAlignment w:val="baseline"/>
              <w:rPr>
                <w:rFonts w:ascii="宋体" w:hAnsi="宋体" w:eastAsia="宋体" w:cs="宋体"/>
                <w:sz w:val="24"/>
                <w:szCs w:val="24"/>
              </w:rPr>
            </w:pPr>
            <w:r>
              <w:rPr>
                <w:rFonts w:ascii="宋体" w:hAnsi="宋体" w:eastAsia="宋体" w:cs="宋体"/>
                <w:spacing w:val="-4"/>
                <w:sz w:val="24"/>
                <w:szCs w:val="24"/>
              </w:rPr>
              <w:t>信息安全管理即通过维护信息保密性、完整</w:t>
            </w:r>
            <w:r>
              <w:rPr>
                <w:rFonts w:ascii="宋体" w:hAnsi="宋体" w:eastAsia="宋体" w:cs="宋体"/>
                <w:spacing w:val="-5"/>
                <w:sz w:val="24"/>
                <w:szCs w:val="24"/>
              </w:rPr>
              <w:t>性和可</w:t>
            </w:r>
            <w:r>
              <w:rPr>
                <w:rFonts w:ascii="宋体" w:hAnsi="宋体" w:eastAsia="宋体" w:cs="宋体"/>
                <w:spacing w:val="-6"/>
                <w:sz w:val="24"/>
                <w:szCs w:val="24"/>
              </w:rPr>
              <w:t>用性，来管理和保护组织所有信息资产的一项体制。</w:t>
            </w:r>
            <w:r>
              <w:rPr>
                <w:rFonts w:ascii="宋体" w:hAnsi="宋体" w:eastAsia="宋体" w:cs="宋体"/>
                <w:spacing w:val="-5"/>
                <w:sz w:val="24"/>
                <w:szCs w:val="24"/>
              </w:rPr>
              <w:t>它涵盖了信息安全政策制定、风险评估、控制目标与方式的选择、制定规范的操作规程、信息安全培</w:t>
            </w:r>
            <w:r>
              <w:rPr>
                <w:rFonts w:ascii="宋体" w:hAnsi="宋体" w:eastAsia="宋体" w:cs="宋体"/>
                <w:spacing w:val="-10"/>
                <w:sz w:val="24"/>
                <w:szCs w:val="24"/>
              </w:rPr>
              <w:t>训等内容。</w:t>
            </w:r>
          </w:p>
          <w:p w14:paraId="52379AC7">
            <w:pPr>
              <w:keepNext w:val="0"/>
              <w:keepLines w:val="0"/>
              <w:pageBreakBefore w:val="0"/>
              <w:widowControl w:val="0"/>
              <w:kinsoku w:val="0"/>
              <w:wordWrap/>
              <w:overflowPunct/>
              <w:topLinePunct w:val="0"/>
              <w:autoSpaceDE w:val="0"/>
              <w:autoSpaceDN w:val="0"/>
              <w:bidi w:val="0"/>
              <w:adjustRightInd w:val="0"/>
              <w:snapToGrid w:val="0"/>
              <w:spacing w:line="259" w:lineRule="auto"/>
              <w:ind w:left="110"/>
              <w:jc w:val="both"/>
              <w:textAlignment w:val="baseline"/>
              <w:rPr>
                <w:rFonts w:ascii="宋体" w:hAnsi="宋体" w:eastAsia="宋体" w:cs="宋体"/>
                <w:sz w:val="24"/>
                <w:szCs w:val="24"/>
              </w:rPr>
            </w:pPr>
            <w:r>
              <w:rPr>
                <w:rFonts w:ascii="宋体" w:hAnsi="宋体" w:eastAsia="宋体" w:cs="宋体"/>
                <w:spacing w:val="-6"/>
                <w:sz w:val="24"/>
                <w:szCs w:val="24"/>
              </w:rPr>
              <w:t>信息安全管理涉及领域：安全方针策略、组织安全、</w:t>
            </w:r>
            <w:r>
              <w:rPr>
                <w:rFonts w:ascii="宋体" w:hAnsi="宋体" w:eastAsia="宋体" w:cs="宋体"/>
                <w:spacing w:val="-4"/>
                <w:sz w:val="24"/>
                <w:szCs w:val="24"/>
              </w:rPr>
              <w:t>资产分类与控制、人员安全、物理与环境安</w:t>
            </w:r>
            <w:r>
              <w:rPr>
                <w:rFonts w:ascii="宋体" w:hAnsi="宋体" w:eastAsia="宋体" w:cs="宋体"/>
                <w:spacing w:val="-5"/>
                <w:sz w:val="24"/>
                <w:szCs w:val="24"/>
              </w:rPr>
              <w:t>全、通</w:t>
            </w:r>
            <w:r>
              <w:rPr>
                <w:rFonts w:ascii="宋体" w:hAnsi="宋体" w:eastAsia="宋体" w:cs="宋体"/>
                <w:spacing w:val="-4"/>
                <w:sz w:val="24"/>
                <w:szCs w:val="24"/>
              </w:rPr>
              <w:t>信与运营安全、访问控制、系统开发与维护</w:t>
            </w:r>
            <w:r>
              <w:rPr>
                <w:rFonts w:ascii="宋体" w:hAnsi="宋体" w:eastAsia="宋体" w:cs="宋体"/>
                <w:spacing w:val="-5"/>
                <w:sz w:val="24"/>
                <w:szCs w:val="24"/>
              </w:rPr>
              <w:t>、业务</w:t>
            </w:r>
            <w:r>
              <w:rPr>
                <w:rFonts w:ascii="宋体" w:hAnsi="宋体" w:eastAsia="宋体" w:cs="宋体"/>
                <w:spacing w:val="-7"/>
                <w:sz w:val="24"/>
                <w:szCs w:val="24"/>
              </w:rPr>
              <w:t>连续性、法律符合性等。</w:t>
            </w:r>
          </w:p>
        </w:tc>
      </w:tr>
    </w:tbl>
    <w:p w14:paraId="214595B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5895"/>
      <w:r>
        <w:t>角色与职责</w:t>
      </w:r>
      <w:bookmarkEnd w:id="8"/>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6"/>
        <w:gridCol w:w="6436"/>
      </w:tblGrid>
      <w:tr w14:paraId="5CFE4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86" w:type="dxa"/>
            <w:shd w:val="clear" w:color="auto" w:fill="C0C0C0"/>
          </w:tcPr>
          <w:p w14:paraId="261D6216">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838"/>
              <w:textAlignment w:val="baseline"/>
              <w:rPr>
                <w:rFonts w:ascii="宋体" w:hAnsi="宋体" w:eastAsia="宋体" w:cs="宋体"/>
                <w:sz w:val="21"/>
                <w:szCs w:val="21"/>
              </w:rPr>
            </w:pPr>
            <w:r>
              <w:rPr>
                <w:rFonts w:ascii="宋体" w:hAnsi="宋体" w:eastAsia="宋体" w:cs="宋体"/>
                <w:b/>
                <w:bCs/>
                <w:spacing w:val="-6"/>
                <w:sz w:val="21"/>
                <w:szCs w:val="21"/>
              </w:rPr>
              <w:t>角色</w:t>
            </w:r>
          </w:p>
        </w:tc>
        <w:tc>
          <w:tcPr>
            <w:tcW w:w="6436" w:type="dxa"/>
            <w:shd w:val="clear" w:color="auto" w:fill="C0C0C0"/>
          </w:tcPr>
          <w:p w14:paraId="684BDF35">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2958"/>
              <w:textAlignment w:val="baseline"/>
              <w:rPr>
                <w:rFonts w:ascii="宋体" w:hAnsi="宋体" w:eastAsia="宋体" w:cs="宋体"/>
                <w:sz w:val="21"/>
                <w:szCs w:val="21"/>
              </w:rPr>
            </w:pPr>
            <w:r>
              <w:rPr>
                <w:rFonts w:ascii="宋体" w:hAnsi="宋体" w:eastAsia="宋体" w:cs="宋体"/>
                <w:b/>
                <w:bCs/>
                <w:spacing w:val="-7"/>
                <w:sz w:val="21"/>
                <w:szCs w:val="21"/>
              </w:rPr>
              <w:t>职</w:t>
            </w:r>
            <w:r>
              <w:rPr>
                <w:rFonts w:ascii="宋体" w:hAnsi="宋体" w:eastAsia="宋体" w:cs="宋体"/>
                <w:spacing w:val="15"/>
                <w:sz w:val="21"/>
                <w:szCs w:val="21"/>
              </w:rPr>
              <w:t xml:space="preserve"> </w:t>
            </w:r>
            <w:r>
              <w:rPr>
                <w:rFonts w:ascii="宋体" w:hAnsi="宋体" w:eastAsia="宋体" w:cs="宋体"/>
                <w:b/>
                <w:bCs/>
                <w:spacing w:val="-7"/>
                <w:sz w:val="21"/>
                <w:szCs w:val="21"/>
              </w:rPr>
              <w:t>责</w:t>
            </w:r>
          </w:p>
        </w:tc>
      </w:tr>
      <w:tr w14:paraId="1B8F6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2086" w:type="dxa"/>
          </w:tcPr>
          <w:p w14:paraId="418C38A9">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628"/>
              <w:textAlignment w:val="baseline"/>
              <w:rPr>
                <w:rFonts w:ascii="宋体" w:hAnsi="宋体" w:eastAsia="宋体" w:cs="宋体"/>
                <w:sz w:val="21"/>
                <w:szCs w:val="21"/>
              </w:rPr>
            </w:pP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w:t>
            </w:r>
          </w:p>
        </w:tc>
        <w:tc>
          <w:tcPr>
            <w:tcW w:w="6436" w:type="dxa"/>
          </w:tcPr>
          <w:p w14:paraId="25A2E574">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236"/>
              <w:textAlignment w:val="baseline"/>
              <w:rPr>
                <w:rFonts w:ascii="宋体" w:hAnsi="宋体" w:eastAsia="宋体" w:cs="宋体"/>
                <w:sz w:val="21"/>
                <w:szCs w:val="21"/>
              </w:rPr>
            </w:pPr>
            <w:r>
              <w:rPr>
                <w:rFonts w:ascii="宋体" w:hAnsi="宋体" w:eastAsia="宋体" w:cs="宋体"/>
                <w:spacing w:val="-3"/>
                <w:sz w:val="21"/>
                <w:szCs w:val="21"/>
              </w:rPr>
              <w:t>负责信息安全管理流程中所有活动的协调和监控；</w:t>
            </w:r>
          </w:p>
          <w:p w14:paraId="06AA9ECD">
            <w:pPr>
              <w:keepNext w:val="0"/>
              <w:keepLines w:val="0"/>
              <w:pageBreakBefore w:val="0"/>
              <w:widowControl w:val="0"/>
              <w:kinsoku w:val="0"/>
              <w:wordWrap/>
              <w:overflowPunct/>
              <w:topLinePunct w:val="0"/>
              <w:autoSpaceDE w:val="0"/>
              <w:autoSpaceDN w:val="0"/>
              <w:bidi w:val="0"/>
              <w:adjustRightInd w:val="0"/>
              <w:snapToGrid w:val="0"/>
              <w:spacing w:before="109" w:line="212" w:lineRule="auto"/>
              <w:ind w:left="236"/>
              <w:textAlignment w:val="baseline"/>
              <w:rPr>
                <w:rFonts w:ascii="宋体" w:hAnsi="宋体" w:eastAsia="宋体" w:cs="宋体"/>
                <w:sz w:val="21"/>
                <w:szCs w:val="21"/>
              </w:rPr>
            </w:pPr>
            <w:r>
              <w:rPr>
                <w:rFonts w:ascii="宋体" w:hAnsi="宋体" w:eastAsia="宋体" w:cs="宋体"/>
                <w:spacing w:val="-2"/>
                <w:sz w:val="21"/>
                <w:szCs w:val="21"/>
              </w:rPr>
              <w:t>负责进行资产识别及风险评估，并制定相应的防范措施。</w:t>
            </w:r>
          </w:p>
        </w:tc>
      </w:tr>
      <w:tr w14:paraId="3A3F3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86" w:type="dxa"/>
          </w:tcPr>
          <w:p w14:paraId="288E380F">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418"/>
              <w:textAlignment w:val="baseline"/>
              <w:rPr>
                <w:rFonts w:hint="default" w:ascii="宋体" w:hAnsi="宋体" w:eastAsia="宋体" w:cs="宋体"/>
                <w:sz w:val="21"/>
                <w:szCs w:val="21"/>
                <w:lang w:val="en-US" w:eastAsia="zh-CN"/>
              </w:rPr>
            </w:pPr>
            <w:r>
              <w:rPr>
                <w:rFonts w:hint="eastAsia" w:ascii="宋体" w:hAnsi="宋体" w:eastAsia="宋体" w:cs="宋体"/>
                <w:spacing w:val="-2"/>
                <w:sz w:val="21"/>
                <w:szCs w:val="21"/>
                <w:lang w:val="en-US" w:eastAsia="zh-CN"/>
              </w:rPr>
              <w:t>运维实施工程师</w:t>
            </w:r>
          </w:p>
        </w:tc>
        <w:tc>
          <w:tcPr>
            <w:tcW w:w="6436" w:type="dxa"/>
          </w:tcPr>
          <w:p w14:paraId="7F8F5FA5">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228"/>
              <w:textAlignment w:val="baseline"/>
              <w:rPr>
                <w:rFonts w:ascii="宋体" w:hAnsi="宋体" w:eastAsia="宋体" w:cs="宋体"/>
                <w:sz w:val="21"/>
                <w:szCs w:val="21"/>
              </w:rPr>
            </w:pPr>
            <w:r>
              <w:rPr>
                <w:rFonts w:ascii="宋体" w:hAnsi="宋体" w:eastAsia="宋体" w:cs="宋体"/>
                <w:spacing w:val="-3"/>
                <w:sz w:val="21"/>
                <w:szCs w:val="21"/>
              </w:rPr>
              <w:t>执行</w:t>
            </w: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项目经理分派的任务。</w:t>
            </w:r>
          </w:p>
        </w:tc>
      </w:tr>
    </w:tbl>
    <w:p w14:paraId="68ADF9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3609"/>
      <w:r>
        <w:t>信息安全管理</w:t>
      </w:r>
      <w:bookmarkEnd w:id="9"/>
    </w:p>
    <w:p w14:paraId="0517527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17"/>
      <w:bookmarkEnd w:id="10"/>
      <w:bookmarkStart w:id="11" w:name="_Toc14367"/>
      <w:r>
        <w:t>资产识别</w:t>
      </w:r>
      <w:bookmarkEnd w:id="11"/>
    </w:p>
    <w:p w14:paraId="4D14ED0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项目合同签订后，根据项目级服务目录的内容，对IT服务活动中的资产进行识别，安全检测人员根据项目《资产信息统计表》完成《资产识别表》，并提交</w:t>
      </w:r>
      <w:r>
        <w:rPr>
          <w:rFonts w:hint="eastAsia"/>
          <w:lang w:val="en-US" w:eastAsia="zh-CN"/>
        </w:rPr>
        <w:t>运维</w:t>
      </w:r>
      <w:r>
        <w:t>项目经理审批。</w:t>
      </w:r>
    </w:p>
    <w:p w14:paraId="04630F4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7099"/>
      <w:r>
        <w:t>风险识别</w:t>
      </w:r>
      <w:bookmarkEnd w:id="12"/>
    </w:p>
    <w:p w14:paraId="142E9D42">
      <w:pPr>
        <w:pStyle w:val="29"/>
        <w:bidi w:val="0"/>
      </w:pPr>
      <w:bookmarkStart w:id="13" w:name="_Toc9529"/>
      <w:r>
        <w:t>识别风险</w:t>
      </w:r>
      <w:bookmarkEnd w:id="13"/>
    </w:p>
    <w:p w14:paraId="1DCD08E5">
      <w:pPr>
        <w:pStyle w:val="27"/>
        <w:bidi w:val="0"/>
      </w:pPr>
      <w:r>
        <w:rPr>
          <w:rFonts w:hint="eastAsia"/>
          <w:lang w:val="en-US" w:eastAsia="zh-CN"/>
        </w:rPr>
        <w:t>运维实施工程师</w:t>
      </w:r>
      <w:r>
        <w:t>负责填写《资产风险评估及控制表》，内容包括但不限于资产类别﹑名称﹑物理位置﹑责任人及数量等，然后提交</w:t>
      </w:r>
      <w:r>
        <w:rPr>
          <w:rFonts w:hint="eastAsia"/>
          <w:lang w:val="en-US" w:eastAsia="zh-CN"/>
        </w:rPr>
        <w:t>运维</w:t>
      </w:r>
      <w:r>
        <w:t>项目经理审批。</w:t>
      </w:r>
    </w:p>
    <w:p w14:paraId="5BE702AD">
      <w:pPr>
        <w:pStyle w:val="27"/>
        <w:bidi w:val="0"/>
      </w:pPr>
      <w:r>
        <w:t>对资产进行风险识别，首先要确定信息安全威胁源，才能确定风险存在点，威胁源的分类如下所示：</w:t>
      </w:r>
    </w:p>
    <w:p w14:paraId="31EE420C">
      <w:pPr>
        <w:pStyle w:val="27"/>
        <w:numPr>
          <w:ilvl w:val="0"/>
          <w:numId w:val="2"/>
        </w:numPr>
        <w:bidi w:val="0"/>
        <w:ind w:left="425" w:leftChars="0" w:hanging="425" w:firstLineChars="0"/>
      </w:pPr>
      <w:r>
        <w:t>信息泄露：信息被泄露或透露给某个非授权的实体。</w:t>
      </w:r>
    </w:p>
    <w:p w14:paraId="07046843">
      <w:pPr>
        <w:pStyle w:val="27"/>
        <w:numPr>
          <w:ilvl w:val="0"/>
          <w:numId w:val="2"/>
        </w:numPr>
        <w:bidi w:val="0"/>
        <w:ind w:left="425" w:leftChars="0" w:hanging="425" w:firstLineChars="0"/>
      </w:pPr>
      <w:r>
        <w:t>破坏信息的完整性：数据被非授权地进行增删、修改或破坏而受到损失。</w:t>
      </w:r>
    </w:p>
    <w:p w14:paraId="73D41DF1">
      <w:pPr>
        <w:pStyle w:val="27"/>
        <w:numPr>
          <w:ilvl w:val="0"/>
          <w:numId w:val="2"/>
        </w:numPr>
        <w:bidi w:val="0"/>
        <w:ind w:left="425" w:leftChars="0" w:hanging="425" w:firstLineChars="0"/>
      </w:pPr>
      <w:r>
        <w:t>拒绝服务：对信息或其他资源的合法访问被无条件地阻止。</w:t>
      </w:r>
    </w:p>
    <w:p w14:paraId="518BA200">
      <w:pPr>
        <w:pStyle w:val="27"/>
        <w:numPr>
          <w:ilvl w:val="0"/>
          <w:numId w:val="2"/>
        </w:numPr>
        <w:bidi w:val="0"/>
        <w:ind w:left="425" w:leftChars="0" w:hanging="425" w:firstLineChars="0"/>
      </w:pPr>
      <w:r>
        <w:t>非法使用(非授权访问)：某一资源被某个非授权的人，或以非授权的方式使。</w:t>
      </w:r>
    </w:p>
    <w:p w14:paraId="47ED1015">
      <w:pPr>
        <w:pStyle w:val="27"/>
        <w:numPr>
          <w:ilvl w:val="0"/>
          <w:numId w:val="2"/>
        </w:numPr>
        <w:bidi w:val="0"/>
        <w:ind w:left="425" w:leftChars="0" w:hanging="425" w:firstLineChars="0"/>
      </w:pPr>
      <w:r>
        <w:t>窃听：用各种可能的合法或非法的手段窃取系统中的信息资源。例如对通信线路中传输的信号搭线监听，或者利用通信设备在工作过程中产生的电磁泄露截取有用信息等。</w:t>
      </w:r>
    </w:p>
    <w:p w14:paraId="7DDCEC57">
      <w:pPr>
        <w:pStyle w:val="27"/>
        <w:numPr>
          <w:ilvl w:val="0"/>
          <w:numId w:val="2"/>
        </w:numPr>
        <w:bidi w:val="0"/>
        <w:ind w:left="425" w:leftChars="0" w:hanging="425" w:firstLineChars="0"/>
      </w:pPr>
      <w:r>
        <w:t>业务流分析：通过对系统进行长期监听，利用统计分析方法对诸如通信频度、通信的信息流向、通信总量的变化等参数进行研究，从中发现有价值的信息和规律。</w:t>
      </w:r>
    </w:p>
    <w:p w14:paraId="73E5F4AF">
      <w:pPr>
        <w:pStyle w:val="27"/>
        <w:numPr>
          <w:ilvl w:val="0"/>
          <w:numId w:val="2"/>
        </w:numPr>
        <w:bidi w:val="0"/>
        <w:ind w:left="425" w:leftChars="0" w:hanging="425" w:firstLineChars="0"/>
      </w:pPr>
      <w:r>
        <w:t>假冒：非法用户通过欺骗通信系统冒充合法用户；或者特权小的用户冒充成为特权大的用户。黑客大多是采用假冒攻击。</w:t>
      </w:r>
    </w:p>
    <w:p w14:paraId="3406EEFB">
      <w:pPr>
        <w:pStyle w:val="27"/>
        <w:bidi w:val="0"/>
      </w:pPr>
    </w:p>
    <w:p w14:paraId="70995E79">
      <w:pPr>
        <w:pStyle w:val="27"/>
        <w:numPr>
          <w:ilvl w:val="0"/>
          <w:numId w:val="2"/>
        </w:numPr>
        <w:bidi w:val="0"/>
        <w:ind w:left="425" w:leftChars="0" w:hanging="425" w:firstLineChars="0"/>
      </w:pPr>
      <w:r>
        <w:t>旁路控制：攻击者利用系统的安全缺陷或安全性上的脆弱之处获得非授权的权利或特权。例如，攻击者通过各种攻击手段发现原本保密，但却暴露出来的一些系统“特性 ”，利用这些“特性 ”，攻击者可以绕过防线守卫者侵入系统的内部，进行非法活动。</w:t>
      </w:r>
    </w:p>
    <w:p w14:paraId="06A9481A">
      <w:pPr>
        <w:pStyle w:val="27"/>
        <w:numPr>
          <w:ilvl w:val="0"/>
          <w:numId w:val="2"/>
        </w:numPr>
        <w:bidi w:val="0"/>
        <w:ind w:left="425" w:leftChars="0" w:hanging="425" w:firstLineChars="0"/>
      </w:pPr>
      <w:r>
        <w:t>授权侵犯：被授权使用某种权限，却将此权限用于其他非授权的目的，也称作“ 内部攻击 ”。</w:t>
      </w:r>
    </w:p>
    <w:p w14:paraId="5F24E201">
      <w:pPr>
        <w:pStyle w:val="27"/>
        <w:numPr>
          <w:ilvl w:val="0"/>
          <w:numId w:val="2"/>
        </w:numPr>
        <w:bidi w:val="0"/>
        <w:ind w:left="425" w:leftChars="0" w:hanging="425" w:firstLineChars="0"/>
      </w:pPr>
      <w:r>
        <w:t>抵赖：这是一种来自用户的攻击，比如：否认自己曾经发布过的某条消息、伪造一份对方来信等。</w:t>
      </w:r>
    </w:p>
    <w:p w14:paraId="4CD413D8">
      <w:pPr>
        <w:pStyle w:val="27"/>
        <w:numPr>
          <w:ilvl w:val="0"/>
          <w:numId w:val="2"/>
        </w:numPr>
        <w:bidi w:val="0"/>
        <w:ind w:left="425" w:leftChars="0" w:hanging="425" w:firstLineChars="0"/>
      </w:pPr>
      <w:r>
        <w:t>重放：出于非法目的，将所截获的某次合法的通信数据进行拷贝，重新发送。</w:t>
      </w:r>
    </w:p>
    <w:p w14:paraId="67906FCD">
      <w:pPr>
        <w:pStyle w:val="27"/>
        <w:numPr>
          <w:ilvl w:val="0"/>
          <w:numId w:val="2"/>
        </w:numPr>
        <w:bidi w:val="0"/>
        <w:ind w:left="425" w:leftChars="0" w:hanging="425" w:firstLineChars="0"/>
      </w:pPr>
      <w:r>
        <w:t>计算机病毒：一种在计算机系统运行过程中能够实现传染和侵害系统功能的程序。</w:t>
      </w:r>
    </w:p>
    <w:p w14:paraId="06C57DF5">
      <w:pPr>
        <w:pStyle w:val="27"/>
        <w:numPr>
          <w:ilvl w:val="0"/>
          <w:numId w:val="2"/>
        </w:numPr>
        <w:bidi w:val="0"/>
        <w:ind w:left="425" w:leftChars="0" w:hanging="425" w:firstLineChars="0"/>
      </w:pPr>
      <w:r>
        <w:t>人员不慎：一个授权的人为了某种利益，或由于粗心，将信息泄露给一个非授权的人。</w:t>
      </w:r>
    </w:p>
    <w:p w14:paraId="3931C0E0">
      <w:pPr>
        <w:pStyle w:val="27"/>
        <w:numPr>
          <w:ilvl w:val="0"/>
          <w:numId w:val="2"/>
        </w:numPr>
        <w:bidi w:val="0"/>
        <w:ind w:left="425" w:leftChars="0" w:hanging="425" w:firstLineChars="0"/>
      </w:pPr>
      <w:r>
        <w:t>媒体废弃：信息被从废弃的磁介质或纸介质中获取。</w:t>
      </w:r>
    </w:p>
    <w:p w14:paraId="29B1C293">
      <w:pPr>
        <w:pStyle w:val="27"/>
        <w:numPr>
          <w:ilvl w:val="0"/>
          <w:numId w:val="2"/>
        </w:numPr>
        <w:bidi w:val="0"/>
        <w:ind w:left="425" w:leftChars="0" w:hanging="425" w:firstLineChars="0"/>
      </w:pPr>
      <w:r>
        <w:t>物理侵入：侵入者绕过物理控制而获得对系统的访问。</w:t>
      </w:r>
    </w:p>
    <w:p w14:paraId="5831B417">
      <w:pPr>
        <w:pStyle w:val="27"/>
        <w:numPr>
          <w:ilvl w:val="0"/>
          <w:numId w:val="2"/>
        </w:numPr>
        <w:bidi w:val="0"/>
        <w:ind w:left="425" w:leftChars="0" w:hanging="425" w:firstLineChars="0"/>
      </w:pPr>
      <w:r>
        <w:t>窃取：重要的安全物品（如令牌或身份卡）被盗。</w:t>
      </w:r>
    </w:p>
    <w:p w14:paraId="2A3F0CAF">
      <w:pPr>
        <w:pStyle w:val="27"/>
        <w:numPr>
          <w:ilvl w:val="0"/>
          <w:numId w:val="2"/>
        </w:numPr>
        <w:bidi w:val="0"/>
        <w:ind w:left="425" w:leftChars="0" w:hanging="425" w:firstLineChars="0"/>
      </w:pPr>
      <w:r>
        <w:t>应在变更审批时充分考虑信息安全因素，识别可能发生的风险隐患，使信息安全风险的判断和评估作为变更审批与否的重要依据。对于违反信息安全要求的变更操作，应当及时终止以避免风险发生。</w:t>
      </w:r>
    </w:p>
    <w:p w14:paraId="1EE1D599">
      <w:pPr>
        <w:pStyle w:val="29"/>
        <w:bidi w:val="0"/>
      </w:pPr>
      <w:bookmarkStart w:id="14" w:name="_Toc24715"/>
      <w:r>
        <w:t>确认已经存在的风险防范措施</w:t>
      </w:r>
      <w:bookmarkEnd w:id="14"/>
    </w:p>
    <w:p w14:paraId="4C47CC62">
      <w:pPr>
        <w:pStyle w:val="27"/>
        <w:bidi w:val="0"/>
      </w:pPr>
      <w:r>
        <w:t>针对已识别的资产风险进行确认，并对已经存在的风险控制方法进行确认或者制定新的风险防范措施。风险等级的判别可以参照资产赋值、威胁赋值、脆弱性赋值和《资产风险评估及控制表》的相关内容来综合评定。对应防范措施的制定参照《机房环境安全管理规范》、《系统安全管理规范》、《网络安全管理规范》和《应用系统安全管理规范》来进行。</w:t>
      </w:r>
    </w:p>
    <w:p w14:paraId="70692C13">
      <w:pPr>
        <w:pStyle w:val="27"/>
        <w:bidi w:val="0"/>
      </w:pPr>
      <w:r>
        <w:t>针对变更对IT基础架构带来的影响，应当对原先的防护和控制措施进行重新的评估，以使当前的控制措施能够满足组织的信息安全要求。</w:t>
      </w:r>
    </w:p>
    <w:p w14:paraId="328FF08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292"/>
      <w:r>
        <w:t>风险分析及判定</w:t>
      </w:r>
      <w:bookmarkEnd w:id="15"/>
    </w:p>
    <w:p w14:paraId="6B5D0E0A">
      <w:pPr>
        <w:pStyle w:val="27"/>
        <w:bidi w:val="0"/>
      </w:pPr>
      <w:r>
        <w:t>风险分析是系统地运用相关信息来确认风险的来源，并对风险进行估计。风险分析要考虑导致风险的原因和风险源、风险事件的正面和负面的后果及其发生的可能性、影响后果和可能性的因素、不同风险及其风险源的相互关系以及风险的其他特性，还要考虑现有的管理措施及其效果和效率。</w:t>
      </w:r>
    </w:p>
    <w:p w14:paraId="07AA86C4">
      <w:pPr>
        <w:pStyle w:val="27"/>
        <w:bidi w:val="0"/>
      </w:pPr>
      <w:r>
        <w:t>在完成了风险识别以及已有安全措施确认后，将采用适当的方法与工具确定导致安全事件发生的可能性。综合安全事件所作用的资产价值，判断安全事件造成的损失对组织的影响，从而判断风险的等级。可以依据下表中准则判断风险的等级。</w:t>
      </w:r>
    </w:p>
    <w:p w14:paraId="1E8B412C">
      <w:pPr>
        <w:keepNext w:val="0"/>
        <w:keepLines w:val="0"/>
        <w:pageBreakBefore w:val="0"/>
        <w:widowControl w:val="0"/>
        <w:kinsoku w:val="0"/>
        <w:wordWrap/>
        <w:overflowPunct/>
        <w:topLinePunct w:val="0"/>
        <w:autoSpaceDE w:val="0"/>
        <w:autoSpaceDN w:val="0"/>
        <w:bidi w:val="0"/>
        <w:adjustRightInd w:val="0"/>
        <w:snapToGrid w:val="0"/>
        <w:spacing w:line="377" w:lineRule="auto"/>
        <w:ind w:left="22" w:right="971" w:firstLine="480"/>
        <w:jc w:val="both"/>
        <w:textAlignment w:val="baseline"/>
        <w:rPr>
          <w:rFonts w:ascii="宋体" w:hAnsi="宋体" w:eastAsia="宋体" w:cs="宋体"/>
          <w:spacing w:val="-4"/>
          <w:sz w:val="24"/>
          <w:szCs w:val="24"/>
        </w:rPr>
      </w:pPr>
    </w:p>
    <w:p w14:paraId="655C510D">
      <w:pPr>
        <w:keepNext w:val="0"/>
        <w:keepLines w:val="0"/>
        <w:pageBreakBefore w:val="0"/>
        <w:widowControl w:val="0"/>
        <w:kinsoku w:val="0"/>
        <w:wordWrap/>
        <w:overflowPunct/>
        <w:topLinePunct w:val="0"/>
        <w:autoSpaceDE w:val="0"/>
        <w:autoSpaceDN w:val="0"/>
        <w:bidi w:val="0"/>
        <w:adjustRightInd w:val="0"/>
        <w:snapToGrid w:val="0"/>
        <w:spacing w:before="9" w:line="220" w:lineRule="auto"/>
        <w:ind w:left="3441"/>
        <w:textAlignment w:val="baseline"/>
        <w:rPr>
          <w:rFonts w:ascii="宋体" w:hAnsi="宋体" w:eastAsia="宋体" w:cs="宋体"/>
          <w:sz w:val="21"/>
          <w:szCs w:val="21"/>
        </w:rPr>
      </w:pPr>
      <w:r>
        <w:rPr>
          <w:rFonts w:ascii="宋体" w:hAnsi="宋体" w:eastAsia="宋体" w:cs="宋体"/>
          <w:b/>
          <w:bCs/>
          <w:spacing w:val="-4"/>
          <w:sz w:val="21"/>
          <w:szCs w:val="21"/>
        </w:rPr>
        <w:t>风险等级划分表</w:t>
      </w:r>
    </w:p>
    <w:p w14:paraId="7FBF02CA">
      <w:pPr>
        <w:keepNext w:val="0"/>
        <w:keepLines w:val="0"/>
        <w:pageBreakBefore w:val="0"/>
        <w:widowControl w:val="0"/>
        <w:kinsoku w:val="0"/>
        <w:wordWrap/>
        <w:overflowPunct/>
        <w:topLinePunct w:val="0"/>
        <w:autoSpaceDE w:val="0"/>
        <w:autoSpaceDN w:val="0"/>
        <w:bidi w:val="0"/>
        <w:adjustRightInd w:val="0"/>
        <w:snapToGrid w:val="0"/>
        <w:spacing w:line="98" w:lineRule="exact"/>
        <w:textAlignment w:val="baseline"/>
      </w:pPr>
    </w:p>
    <w:tbl>
      <w:tblPr>
        <w:tblStyle w:val="24"/>
        <w:tblW w:w="8595"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7650"/>
      </w:tblGrid>
      <w:tr w14:paraId="5D867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945" w:type="dxa"/>
            <w:shd w:val="clear" w:color="auto" w:fill="BFBFBF"/>
          </w:tcPr>
          <w:p w14:paraId="27C5785C">
            <w:pPr>
              <w:keepNext w:val="0"/>
              <w:keepLines w:val="0"/>
              <w:pageBreakBefore w:val="0"/>
              <w:widowControl w:val="0"/>
              <w:kinsoku w:val="0"/>
              <w:wordWrap/>
              <w:overflowPunct/>
              <w:topLinePunct w:val="0"/>
              <w:autoSpaceDE w:val="0"/>
              <w:autoSpaceDN w:val="0"/>
              <w:bidi w:val="0"/>
              <w:adjustRightInd w:val="0"/>
              <w:snapToGrid w:val="0"/>
              <w:spacing w:before="140" w:line="220" w:lineRule="auto"/>
              <w:ind w:left="265"/>
              <w:textAlignment w:val="baseline"/>
              <w:rPr>
                <w:rFonts w:ascii="宋体" w:hAnsi="宋体" w:eastAsia="宋体" w:cs="宋体"/>
                <w:sz w:val="21"/>
                <w:szCs w:val="21"/>
              </w:rPr>
            </w:pPr>
            <w:r>
              <w:rPr>
                <w:rFonts w:ascii="宋体" w:hAnsi="宋体" w:eastAsia="宋体" w:cs="宋体"/>
                <w:b/>
                <w:bCs/>
                <w:spacing w:val="-5"/>
                <w:sz w:val="21"/>
                <w:szCs w:val="21"/>
              </w:rPr>
              <w:t>等级</w:t>
            </w:r>
          </w:p>
        </w:tc>
        <w:tc>
          <w:tcPr>
            <w:tcW w:w="7650" w:type="dxa"/>
            <w:shd w:val="clear" w:color="auto" w:fill="BFBFBF"/>
          </w:tcPr>
          <w:p w14:paraId="4381231F">
            <w:pPr>
              <w:keepNext w:val="0"/>
              <w:keepLines w:val="0"/>
              <w:pageBreakBefore w:val="0"/>
              <w:widowControl w:val="0"/>
              <w:kinsoku w:val="0"/>
              <w:wordWrap/>
              <w:overflowPunct/>
              <w:topLinePunct w:val="0"/>
              <w:autoSpaceDE w:val="0"/>
              <w:autoSpaceDN w:val="0"/>
              <w:bidi w:val="0"/>
              <w:adjustRightInd w:val="0"/>
              <w:snapToGrid w:val="0"/>
              <w:spacing w:before="140" w:line="222" w:lineRule="auto"/>
              <w:ind w:left="3618"/>
              <w:textAlignment w:val="baseline"/>
              <w:rPr>
                <w:rFonts w:ascii="宋体" w:hAnsi="宋体" w:eastAsia="宋体" w:cs="宋体"/>
                <w:sz w:val="21"/>
                <w:szCs w:val="21"/>
              </w:rPr>
            </w:pPr>
            <w:r>
              <w:rPr>
                <w:rFonts w:ascii="宋体" w:hAnsi="宋体" w:eastAsia="宋体" w:cs="宋体"/>
                <w:b/>
                <w:bCs/>
                <w:spacing w:val="-5"/>
                <w:sz w:val="21"/>
                <w:szCs w:val="21"/>
              </w:rPr>
              <w:t>描述</w:t>
            </w:r>
          </w:p>
        </w:tc>
      </w:tr>
      <w:tr w14:paraId="6E410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945" w:type="dxa"/>
          </w:tcPr>
          <w:p w14:paraId="67ECC046">
            <w:pPr>
              <w:pStyle w:val="25"/>
              <w:keepNext w:val="0"/>
              <w:keepLines w:val="0"/>
              <w:pageBreakBefore w:val="0"/>
              <w:widowControl w:val="0"/>
              <w:kinsoku w:val="0"/>
              <w:wordWrap/>
              <w:overflowPunct/>
              <w:topLinePunct w:val="0"/>
              <w:autoSpaceDE w:val="0"/>
              <w:autoSpaceDN w:val="0"/>
              <w:bidi w:val="0"/>
              <w:adjustRightInd w:val="0"/>
              <w:snapToGrid w:val="0"/>
              <w:spacing w:line="311" w:lineRule="auto"/>
              <w:textAlignment w:val="baseline"/>
            </w:pPr>
          </w:p>
          <w:p w14:paraId="37680DE0">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74"/>
              <w:textAlignment w:val="baseline"/>
              <w:rPr>
                <w:rFonts w:ascii="宋体" w:hAnsi="宋体" w:eastAsia="宋体" w:cs="宋体"/>
                <w:sz w:val="21"/>
                <w:szCs w:val="21"/>
              </w:rPr>
            </w:pPr>
            <w:r>
              <w:rPr>
                <w:rFonts w:ascii="宋体" w:hAnsi="宋体" w:eastAsia="宋体" w:cs="宋体"/>
                <w:sz w:val="21"/>
                <w:szCs w:val="21"/>
              </w:rPr>
              <w:t>高</w:t>
            </w:r>
          </w:p>
        </w:tc>
        <w:tc>
          <w:tcPr>
            <w:tcW w:w="7650" w:type="dxa"/>
          </w:tcPr>
          <w:p w14:paraId="4B5EDB7A">
            <w:pPr>
              <w:keepNext w:val="0"/>
              <w:keepLines w:val="0"/>
              <w:pageBreakBefore w:val="0"/>
              <w:widowControl w:val="0"/>
              <w:kinsoku w:val="0"/>
              <w:wordWrap/>
              <w:overflowPunct/>
              <w:topLinePunct w:val="0"/>
              <w:autoSpaceDE w:val="0"/>
              <w:autoSpaceDN w:val="0"/>
              <w:bidi w:val="0"/>
              <w:adjustRightInd w:val="0"/>
              <w:snapToGrid w:val="0"/>
              <w:spacing w:before="138" w:line="416" w:lineRule="auto"/>
              <w:ind w:left="126" w:right="190" w:hanging="15"/>
              <w:textAlignment w:val="baseline"/>
              <w:rPr>
                <w:rFonts w:ascii="宋体" w:hAnsi="宋体" w:eastAsia="宋体" w:cs="宋体"/>
                <w:sz w:val="21"/>
                <w:szCs w:val="21"/>
              </w:rPr>
            </w:pPr>
            <w:r>
              <w:rPr>
                <w:rFonts w:ascii="宋体" w:hAnsi="宋体" w:eastAsia="宋体" w:cs="宋体"/>
                <w:sz w:val="21"/>
                <w:szCs w:val="21"/>
              </w:rPr>
              <w:t>一旦发生组织信誉严重破坏、严重影响组织的正常</w:t>
            </w:r>
            <w:r>
              <w:rPr>
                <w:rFonts w:ascii="宋体" w:hAnsi="宋体" w:eastAsia="宋体" w:cs="宋体"/>
                <w:spacing w:val="-1"/>
                <w:sz w:val="21"/>
                <w:szCs w:val="21"/>
              </w:rPr>
              <w:t>经营，影响组织范围或一定范</w:t>
            </w:r>
            <w:r>
              <w:rPr>
                <w:rFonts w:ascii="宋体" w:hAnsi="宋体" w:eastAsia="宋体" w:cs="宋体"/>
                <w:spacing w:val="-2"/>
                <w:sz w:val="21"/>
                <w:szCs w:val="21"/>
              </w:rPr>
              <w:t>围，经济损失重大、社会影响恶劣</w:t>
            </w:r>
          </w:p>
        </w:tc>
      </w:tr>
      <w:tr w14:paraId="26C14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945" w:type="dxa"/>
          </w:tcPr>
          <w:p w14:paraId="520AED45">
            <w:pPr>
              <w:pStyle w:val="25"/>
              <w:keepNext w:val="0"/>
              <w:keepLines w:val="0"/>
              <w:pageBreakBefore w:val="0"/>
              <w:widowControl w:val="0"/>
              <w:kinsoku w:val="0"/>
              <w:wordWrap/>
              <w:overflowPunct/>
              <w:topLinePunct w:val="0"/>
              <w:autoSpaceDE w:val="0"/>
              <w:autoSpaceDN w:val="0"/>
              <w:bidi w:val="0"/>
              <w:adjustRightInd w:val="0"/>
              <w:snapToGrid w:val="0"/>
              <w:spacing w:line="315" w:lineRule="auto"/>
              <w:textAlignment w:val="baseline"/>
            </w:pPr>
          </w:p>
          <w:p w14:paraId="49542099">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388"/>
              <w:textAlignment w:val="baseline"/>
              <w:rPr>
                <w:rFonts w:ascii="宋体" w:hAnsi="宋体" w:eastAsia="宋体" w:cs="宋体"/>
                <w:sz w:val="21"/>
                <w:szCs w:val="21"/>
              </w:rPr>
            </w:pPr>
            <w:r>
              <w:rPr>
                <w:rFonts w:ascii="宋体" w:hAnsi="宋体" w:eastAsia="宋体" w:cs="宋体"/>
                <w:sz w:val="21"/>
                <w:szCs w:val="21"/>
              </w:rPr>
              <w:t>中</w:t>
            </w:r>
          </w:p>
        </w:tc>
        <w:tc>
          <w:tcPr>
            <w:tcW w:w="7650" w:type="dxa"/>
          </w:tcPr>
          <w:p w14:paraId="728E43D6">
            <w:pPr>
              <w:keepNext w:val="0"/>
              <w:keepLines w:val="0"/>
              <w:pageBreakBefore w:val="0"/>
              <w:widowControl w:val="0"/>
              <w:kinsoku w:val="0"/>
              <w:wordWrap/>
              <w:overflowPunct/>
              <w:topLinePunct w:val="0"/>
              <w:autoSpaceDE w:val="0"/>
              <w:autoSpaceDN w:val="0"/>
              <w:bidi w:val="0"/>
              <w:adjustRightInd w:val="0"/>
              <w:snapToGrid w:val="0"/>
              <w:spacing w:before="140" w:line="415" w:lineRule="auto"/>
              <w:ind w:left="110" w:right="190"/>
              <w:textAlignment w:val="baseline"/>
              <w:rPr>
                <w:rFonts w:ascii="宋体" w:hAnsi="宋体" w:eastAsia="宋体" w:cs="宋体"/>
                <w:sz w:val="21"/>
                <w:szCs w:val="21"/>
              </w:rPr>
            </w:pPr>
            <w:r>
              <w:rPr>
                <w:rFonts w:ascii="宋体" w:hAnsi="宋体" w:eastAsia="宋体" w:cs="宋体"/>
                <w:sz w:val="21"/>
                <w:szCs w:val="21"/>
              </w:rPr>
              <w:t>一旦发生会造成组织一定的经济、生产经营或社会</w:t>
            </w:r>
            <w:r>
              <w:rPr>
                <w:rFonts w:ascii="宋体" w:hAnsi="宋体" w:eastAsia="宋体" w:cs="宋体"/>
                <w:spacing w:val="-1"/>
                <w:sz w:val="21"/>
                <w:szCs w:val="21"/>
              </w:rPr>
              <w:t>影响，但影响面和影响程度不</w:t>
            </w:r>
            <w:r>
              <w:rPr>
                <w:rFonts w:ascii="宋体" w:hAnsi="宋体" w:eastAsia="宋体" w:cs="宋体"/>
                <w:sz w:val="21"/>
                <w:szCs w:val="21"/>
              </w:rPr>
              <w:t>大</w:t>
            </w:r>
          </w:p>
        </w:tc>
      </w:tr>
      <w:tr w14:paraId="4C15E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0" w:hRule="atLeast"/>
        </w:trPr>
        <w:tc>
          <w:tcPr>
            <w:tcW w:w="945" w:type="dxa"/>
          </w:tcPr>
          <w:p w14:paraId="0FE635EF">
            <w:pPr>
              <w:pStyle w:val="25"/>
              <w:keepNext w:val="0"/>
              <w:keepLines w:val="0"/>
              <w:pageBreakBefore w:val="0"/>
              <w:widowControl w:val="0"/>
              <w:kinsoku w:val="0"/>
              <w:wordWrap/>
              <w:overflowPunct/>
              <w:topLinePunct w:val="0"/>
              <w:autoSpaceDE w:val="0"/>
              <w:autoSpaceDN w:val="0"/>
              <w:bidi w:val="0"/>
              <w:adjustRightInd w:val="0"/>
              <w:snapToGrid w:val="0"/>
              <w:spacing w:line="318" w:lineRule="auto"/>
              <w:textAlignment w:val="baseline"/>
            </w:pPr>
          </w:p>
          <w:p w14:paraId="4CC20BB0">
            <w:pPr>
              <w:keepNext w:val="0"/>
              <w:keepLines w:val="0"/>
              <w:pageBreakBefore w:val="0"/>
              <w:widowControl w:val="0"/>
              <w:kinsoku w:val="0"/>
              <w:wordWrap/>
              <w:overflowPunct/>
              <w:topLinePunct w:val="0"/>
              <w:autoSpaceDE w:val="0"/>
              <w:autoSpaceDN w:val="0"/>
              <w:bidi w:val="0"/>
              <w:adjustRightInd w:val="0"/>
              <w:snapToGrid w:val="0"/>
              <w:spacing w:before="68" w:line="221" w:lineRule="auto"/>
              <w:ind w:left="368"/>
              <w:textAlignment w:val="baseline"/>
              <w:rPr>
                <w:rFonts w:ascii="宋体" w:hAnsi="宋体" w:eastAsia="宋体" w:cs="宋体"/>
                <w:sz w:val="21"/>
                <w:szCs w:val="21"/>
              </w:rPr>
            </w:pPr>
            <w:r>
              <w:rPr>
                <w:rFonts w:ascii="宋体" w:hAnsi="宋体" w:eastAsia="宋体" w:cs="宋体"/>
                <w:sz w:val="21"/>
                <w:szCs w:val="21"/>
              </w:rPr>
              <w:t>低</w:t>
            </w:r>
          </w:p>
        </w:tc>
        <w:tc>
          <w:tcPr>
            <w:tcW w:w="7650" w:type="dxa"/>
          </w:tcPr>
          <w:p w14:paraId="0EC8E3E5">
            <w:pPr>
              <w:keepNext w:val="0"/>
              <w:keepLines w:val="0"/>
              <w:pageBreakBefore w:val="0"/>
              <w:widowControl w:val="0"/>
              <w:kinsoku w:val="0"/>
              <w:wordWrap/>
              <w:overflowPunct/>
              <w:topLinePunct w:val="0"/>
              <w:autoSpaceDE w:val="0"/>
              <w:autoSpaceDN w:val="0"/>
              <w:bidi w:val="0"/>
              <w:adjustRightInd w:val="0"/>
              <w:snapToGrid w:val="0"/>
              <w:spacing w:before="143" w:line="416" w:lineRule="auto"/>
              <w:ind w:left="109" w:right="190" w:firstLine="1"/>
              <w:textAlignment w:val="baseline"/>
              <w:rPr>
                <w:rFonts w:ascii="宋体" w:hAnsi="宋体" w:eastAsia="宋体" w:cs="宋体"/>
                <w:sz w:val="21"/>
                <w:szCs w:val="21"/>
              </w:rPr>
            </w:pPr>
            <w:r>
              <w:rPr>
                <w:rFonts w:ascii="宋体" w:hAnsi="宋体" w:eastAsia="宋体" w:cs="宋体"/>
                <w:sz w:val="21"/>
                <w:szCs w:val="21"/>
              </w:rPr>
              <w:t>一旦发生造成的影响程度较低，一般仅限于组织内</w:t>
            </w:r>
            <w:r>
              <w:rPr>
                <w:rFonts w:ascii="宋体" w:hAnsi="宋体" w:eastAsia="宋体" w:cs="宋体"/>
                <w:spacing w:val="-1"/>
                <w:sz w:val="21"/>
                <w:szCs w:val="21"/>
              </w:rPr>
              <w:t>部，通过一定手段或简单手段</w:t>
            </w:r>
            <w:r>
              <w:rPr>
                <w:rFonts w:ascii="宋体" w:hAnsi="宋体" w:eastAsia="宋体" w:cs="宋体"/>
                <w:spacing w:val="-2"/>
                <w:sz w:val="21"/>
                <w:szCs w:val="21"/>
              </w:rPr>
              <w:t>很快能解决</w:t>
            </w:r>
          </w:p>
        </w:tc>
      </w:tr>
    </w:tbl>
    <w:p w14:paraId="2D19D212">
      <w:pPr>
        <w:pStyle w:val="27"/>
        <w:bidi w:val="0"/>
      </w:pPr>
      <w:r>
        <w:t>风险分析的结果为具有不同等级的风险列表并形成《风险评估表》。</w:t>
      </w:r>
    </w:p>
    <w:p w14:paraId="38AC11C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14860"/>
      <w:r>
        <w:t>超过可接受风险的处置</w:t>
      </w:r>
      <w:bookmarkEnd w:id="16"/>
    </w:p>
    <w:p w14:paraId="0196BC5D">
      <w:pPr>
        <w:pStyle w:val="27"/>
        <w:bidi w:val="0"/>
      </w:pPr>
      <w:r>
        <w:t>超过可接受风险水平值时可按以下方法进行处理：</w:t>
      </w:r>
    </w:p>
    <w:p w14:paraId="79362661">
      <w:pPr>
        <w:pStyle w:val="39"/>
        <w:numPr>
          <w:ilvl w:val="0"/>
          <w:numId w:val="3"/>
        </w:numPr>
        <w:bidi w:val="0"/>
        <w:ind w:left="425" w:leftChars="0" w:hanging="425" w:firstLineChars="0"/>
      </w:pPr>
      <w:r>
        <w:t>采用适当的控制措施(可参照《机房环境安全管理规范》、《系统安全管理规范》、《网络安全管理规范》和《应用系统安全管理规范》中的各项安全措施来进行控制)；</w:t>
      </w:r>
    </w:p>
    <w:p w14:paraId="433A4E22">
      <w:pPr>
        <w:pStyle w:val="39"/>
        <w:numPr>
          <w:ilvl w:val="0"/>
          <w:numId w:val="3"/>
        </w:numPr>
        <w:bidi w:val="0"/>
        <w:ind w:left="425" w:leftChars="0" w:hanging="425" w:firstLineChars="0"/>
      </w:pPr>
      <w:r>
        <w:t>若风险符合组织的政策与风险承受准则，可在掌握状况下客观地接受此等风险；</w:t>
      </w:r>
    </w:p>
    <w:p w14:paraId="42533570">
      <w:pPr>
        <w:pStyle w:val="39"/>
        <w:numPr>
          <w:ilvl w:val="0"/>
          <w:numId w:val="3"/>
        </w:numPr>
        <w:bidi w:val="0"/>
        <w:ind w:left="425" w:leftChars="0" w:hanging="425" w:firstLineChars="0"/>
      </w:pPr>
      <w:r>
        <w:t>风险规避：将相关的风险转移至其它机构，如保险公司、第三方服务商；</w:t>
      </w:r>
    </w:p>
    <w:p w14:paraId="5578881B">
      <w:pPr>
        <w:pStyle w:val="39"/>
        <w:numPr>
          <w:ilvl w:val="0"/>
          <w:numId w:val="3"/>
        </w:numPr>
        <w:bidi w:val="0"/>
        <w:ind w:left="425" w:leftChars="0" w:hanging="425" w:firstLineChars="0"/>
      </w:pPr>
      <w:r>
        <w:t>对于不可接受风险的资产，采取控制措施并实施后，重新评估以确认其风险等级，确保所采取的控制措施是充分的，直到其风险值降至可接受风险值为止。</w:t>
      </w:r>
    </w:p>
    <w:p w14:paraId="015ED85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5231"/>
      <w:r>
        <w:t>定期评估、改进</w:t>
      </w:r>
      <w:bookmarkEnd w:id="17"/>
    </w:p>
    <w:p w14:paraId="4C52A14F">
      <w:pPr>
        <w:pStyle w:val="27"/>
        <w:bidi w:val="0"/>
      </w:pPr>
      <w:r>
        <w:t>每年至少一次全面审查风险评估内容与状态的适应性，以确定是否存在新的风险及是否需要增加新的控制措施，对发生以下情况需及时进行风险评估：</w:t>
      </w:r>
    </w:p>
    <w:p w14:paraId="74FC4496">
      <w:pPr>
        <w:pStyle w:val="39"/>
        <w:numPr>
          <w:ilvl w:val="0"/>
          <w:numId w:val="4"/>
        </w:numPr>
        <w:bidi w:val="0"/>
        <w:ind w:left="425" w:leftChars="0" w:hanging="425" w:firstLineChars="0"/>
      </w:pPr>
      <w:r>
        <w:t>当发生重大信息安全事件时；</w:t>
      </w:r>
    </w:p>
    <w:p w14:paraId="730124E4">
      <w:pPr>
        <w:pStyle w:val="39"/>
        <w:numPr>
          <w:ilvl w:val="0"/>
          <w:numId w:val="4"/>
        </w:numPr>
        <w:bidi w:val="0"/>
        <w:ind w:left="425" w:leftChars="0" w:hanging="425" w:firstLineChars="0"/>
      </w:pPr>
      <w:r>
        <w:t>当信息网络系统发生重大变更时；</w:t>
      </w:r>
    </w:p>
    <w:p w14:paraId="70DB4F6D">
      <w:pPr>
        <w:pStyle w:val="39"/>
        <w:numPr>
          <w:ilvl w:val="0"/>
          <w:numId w:val="4"/>
        </w:numPr>
        <w:bidi w:val="0"/>
        <w:ind w:left="425" w:leftChars="0" w:hanging="425" w:firstLineChars="0"/>
      </w:pPr>
      <w:r>
        <w:t>当新增加服务时。</w:t>
      </w:r>
    </w:p>
    <w:p w14:paraId="2CE449DD">
      <w:pPr>
        <w:pStyle w:val="27"/>
        <w:bidi w:val="0"/>
      </w:pPr>
      <w:r>
        <w:t>在风险评估结束后，</w:t>
      </w:r>
      <w:r>
        <w:rPr>
          <w:rFonts w:hint="eastAsia"/>
          <w:lang w:val="en-US" w:eastAsia="zh-CN"/>
        </w:rPr>
        <w:t>运维</w:t>
      </w:r>
      <w:r>
        <w:t>项目经理要针对新风险和已存在风险的防范措施进行优化改善，提交《信息系统安全评估报告》。</w:t>
      </w:r>
    </w:p>
    <w:p w14:paraId="55303A8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32226"/>
      <w:r>
        <w:t>信息安全事件</w:t>
      </w:r>
      <w:bookmarkEnd w:id="18"/>
    </w:p>
    <w:p w14:paraId="3D926B3F">
      <w:pPr>
        <w:pStyle w:val="27"/>
        <w:bidi w:val="0"/>
      </w:pPr>
      <w:r>
        <w:t>所有引起信息的机密性（预防数据欺骗及组织敏感信息泄漏），完整性</w:t>
      </w:r>
    </w:p>
    <w:p w14:paraId="000620D8">
      <w:pPr>
        <w:pStyle w:val="27"/>
        <w:bidi w:val="0"/>
        <w:rPr>
          <w:rFonts w:hint="eastAsia"/>
          <w:lang w:eastAsia="zh-CN"/>
        </w:rPr>
      </w:pPr>
      <w:r>
        <w:t>（防止数据被篡改）和可用性缺失（核心业务的连续性）的事件都是信息安全事件（例如病毒引起的故障）。有关信息安全事件按事件管理流程来执行</w:t>
      </w:r>
      <w:r>
        <w:rPr>
          <w:rFonts w:hint="eastAsia"/>
          <w:lang w:eastAsia="zh-CN"/>
        </w:rPr>
        <w:t>。</w:t>
      </w:r>
    </w:p>
    <w:p w14:paraId="5ED419E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5049"/>
      <w:r>
        <w:t>信息安全事件分析</w:t>
      </w:r>
      <w:bookmarkEnd w:id="19"/>
    </w:p>
    <w:p w14:paraId="759781B5">
      <w:pPr>
        <w:pStyle w:val="27"/>
        <w:bidi w:val="0"/>
      </w:pPr>
      <w:r>
        <w:rPr>
          <w:rFonts w:hint="eastAsia"/>
          <w:lang w:val="en-US" w:eastAsia="zh-CN"/>
        </w:rPr>
        <w:t>运维</w:t>
      </w:r>
      <w:r>
        <w:t>项目经理析和汇总信息安全事件，生成《信息安全事件统计表》。</w:t>
      </w:r>
    </w:p>
    <w:p w14:paraId="07DDA3F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6531"/>
      <w:r>
        <w:t>信息安全方针</w:t>
      </w:r>
      <w:bookmarkEnd w:id="20"/>
    </w:p>
    <w:p w14:paraId="674E0BED">
      <w:pPr>
        <w:pStyle w:val="28"/>
        <w:bidi w:val="0"/>
      </w:pPr>
      <w:bookmarkStart w:id="21" w:name="_Toc26183"/>
      <w:r>
        <w:t>签署保密协议</w:t>
      </w:r>
      <w:bookmarkEnd w:id="21"/>
    </w:p>
    <w:p w14:paraId="76202C74">
      <w:pPr>
        <w:pStyle w:val="27"/>
        <w:bidi w:val="0"/>
      </w:pPr>
      <w:r>
        <w:t>运维服务人员在客户单位工作期间，签订保密协议或在其他文件中明确信息安全条款。</w:t>
      </w:r>
    </w:p>
    <w:p w14:paraId="119B13E7">
      <w:pPr>
        <w:pStyle w:val="28"/>
        <w:bidi w:val="0"/>
      </w:pPr>
      <w:bookmarkStart w:id="22" w:name="_Toc2849"/>
      <w:r>
        <w:t>与第三方签署安全保密协议</w:t>
      </w:r>
      <w:bookmarkEnd w:id="22"/>
      <w:bookmarkStart w:id="26" w:name="_GoBack"/>
      <w:bookmarkEnd w:id="26"/>
    </w:p>
    <w:p w14:paraId="29F32B47">
      <w:pPr>
        <w:pStyle w:val="27"/>
        <w:bidi w:val="0"/>
      </w:pPr>
      <w:r>
        <w:t>为了保障客户信息安全，运维部要与第三方组织签订信息安全协议。</w:t>
      </w:r>
    </w:p>
    <w:p w14:paraId="5010971E">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1434"/>
      <w:bookmarkStart w:id="24" w:name="_Toc19056"/>
      <w:r>
        <w:rPr>
          <w:rFonts w:hint="default"/>
          <w:lang w:val="en-US" w:eastAsia="zh-CN"/>
        </w:rPr>
        <w:t>关键指标</w:t>
      </w:r>
      <w:bookmarkEnd w:id="23"/>
      <w:bookmarkEnd w:id="24"/>
    </w:p>
    <w:tbl>
      <w:tblPr>
        <w:tblStyle w:val="24"/>
        <w:tblW w:w="8873"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2146"/>
        <w:gridCol w:w="3880"/>
        <w:gridCol w:w="1060"/>
        <w:gridCol w:w="1060"/>
      </w:tblGrid>
      <w:tr w14:paraId="403658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5621918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2146" w:type="dxa"/>
            <w:tcBorders>
              <w:top w:val="single" w:color="000000" w:sz="6" w:space="0"/>
              <w:bottom w:val="single" w:color="000000" w:sz="6" w:space="0"/>
            </w:tcBorders>
            <w:shd w:val="clear" w:color="auto" w:fill="C0C0C0"/>
          </w:tcPr>
          <w:p w14:paraId="0789FC0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880" w:type="dxa"/>
            <w:tcBorders>
              <w:top w:val="single" w:color="000000" w:sz="6" w:space="0"/>
              <w:bottom w:val="single" w:color="000000" w:sz="6" w:space="0"/>
              <w:right w:val="single" w:color="000000" w:sz="6" w:space="0"/>
            </w:tcBorders>
            <w:shd w:val="clear" w:color="auto" w:fill="C0C0C0"/>
          </w:tcPr>
          <w:p w14:paraId="66A25C0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060" w:type="dxa"/>
            <w:tcBorders>
              <w:top w:val="single" w:color="000000" w:sz="6" w:space="0"/>
              <w:bottom w:val="single" w:color="000000" w:sz="6" w:space="0"/>
              <w:right w:val="single" w:color="000000" w:sz="6" w:space="0"/>
            </w:tcBorders>
            <w:shd w:val="clear" w:color="auto" w:fill="C0C0C0"/>
          </w:tcPr>
          <w:p w14:paraId="08F5EDCD">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060" w:type="dxa"/>
            <w:tcBorders>
              <w:top w:val="single" w:color="000000" w:sz="6" w:space="0"/>
              <w:bottom w:val="single" w:color="000000" w:sz="6" w:space="0"/>
              <w:right w:val="single" w:color="000000" w:sz="6" w:space="0"/>
            </w:tcBorders>
            <w:shd w:val="clear" w:color="auto" w:fill="C0C0C0"/>
          </w:tcPr>
          <w:p w14:paraId="1D648664">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20501C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24EDE8F9">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2146" w:type="dxa"/>
            <w:tcBorders>
              <w:top w:val="single" w:color="000000" w:sz="6" w:space="0"/>
            </w:tcBorders>
          </w:tcPr>
          <w:p w14:paraId="74DE7DE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信息安全事件数量</w:t>
            </w:r>
          </w:p>
        </w:tc>
        <w:tc>
          <w:tcPr>
            <w:tcW w:w="3880" w:type="dxa"/>
            <w:tcBorders>
              <w:top w:val="single" w:color="000000" w:sz="6" w:space="0"/>
              <w:right w:val="single" w:color="000000" w:sz="6" w:space="0"/>
            </w:tcBorders>
          </w:tcPr>
          <w:p w14:paraId="5CF5BA9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我方造成信息安全事件次数</w:t>
            </w:r>
          </w:p>
        </w:tc>
        <w:tc>
          <w:tcPr>
            <w:tcW w:w="1060" w:type="dxa"/>
            <w:tcBorders>
              <w:top w:val="single" w:color="000000" w:sz="6" w:space="0"/>
              <w:right w:val="single" w:color="000000" w:sz="6" w:space="0"/>
            </w:tcBorders>
          </w:tcPr>
          <w:p w14:paraId="7631736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年度</w:t>
            </w:r>
          </w:p>
        </w:tc>
        <w:tc>
          <w:tcPr>
            <w:tcW w:w="1060" w:type="dxa"/>
            <w:tcBorders>
              <w:top w:val="single" w:color="000000" w:sz="6" w:space="0"/>
              <w:right w:val="single" w:color="000000" w:sz="6" w:space="0"/>
            </w:tcBorders>
          </w:tcPr>
          <w:p w14:paraId="19FF3D1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≤1次</w:t>
            </w:r>
          </w:p>
        </w:tc>
      </w:tr>
    </w:tbl>
    <w:p w14:paraId="7BCE586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4701"/>
      <w:r>
        <w:t>相关文件及模板</w:t>
      </w:r>
      <w:bookmarkEnd w:id="25"/>
    </w:p>
    <w:p w14:paraId="3991D412">
      <w:pPr>
        <w:pStyle w:val="39"/>
        <w:numPr>
          <w:ilvl w:val="0"/>
          <w:numId w:val="5"/>
        </w:numPr>
        <w:bidi w:val="0"/>
        <w:ind w:left="425" w:leftChars="0" w:hanging="425" w:firstLineChars="0"/>
      </w:pPr>
      <w:r>
        <w:t>《资产风险评估及控制表》</w:t>
      </w:r>
    </w:p>
    <w:p w14:paraId="3562752A">
      <w:pPr>
        <w:pStyle w:val="39"/>
        <w:numPr>
          <w:ilvl w:val="0"/>
          <w:numId w:val="5"/>
        </w:numPr>
        <w:bidi w:val="0"/>
        <w:ind w:left="425" w:leftChars="0" w:hanging="425" w:firstLineChars="0"/>
      </w:pPr>
      <w:r>
        <w:t>《信息安全事件统计表》</w:t>
      </w:r>
    </w:p>
    <w:p w14:paraId="3FE988A4">
      <w:pPr>
        <w:pStyle w:val="39"/>
        <w:numPr>
          <w:ilvl w:val="0"/>
          <w:numId w:val="5"/>
        </w:numPr>
        <w:bidi w:val="0"/>
        <w:ind w:left="425" w:leftChars="0" w:hanging="425" w:firstLineChars="0"/>
      </w:pPr>
      <w:r>
        <w:t>《信息系统安全评估报告》</w:t>
      </w:r>
    </w:p>
    <w:sectPr>
      <w:footerReference r:id="rId7"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F568">
    <w:pPr>
      <w:spacing w:line="166" w:lineRule="auto"/>
      <w:ind w:left="4136"/>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719EA">
    <w:pPr>
      <w:spacing w:line="167" w:lineRule="auto"/>
      <w:ind w:left="413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52EE2">
    <w:pPr>
      <w:spacing w:line="167" w:lineRule="auto"/>
      <w:ind w:left="4128"/>
      <w:rPr>
        <w:rFonts w:ascii="Calibri" w:hAnsi="Calibri" w:eastAsia="Calibri" w:cs="Calibri"/>
        <w:sz w:val="18"/>
        <w:szCs w:val="18"/>
      </w:rPr>
    </w:pPr>
    <w:r>
      <w:rPr>
        <w:rFonts w:ascii="Calibri" w:hAnsi="Calibri" w:eastAsia="Calibri" w:cs="Calibri"/>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B61D9"/>
    <w:multiLevelType w:val="singleLevel"/>
    <w:tmpl w:val="82DB61D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6F7C9E3"/>
    <w:multiLevelType w:val="singleLevel"/>
    <w:tmpl w:val="B6F7C9E3"/>
    <w:lvl w:ilvl="0" w:tentative="0">
      <w:start w:val="1"/>
      <w:numFmt w:val="decimal"/>
      <w:lvlText w:val="%1."/>
      <w:lvlJc w:val="left"/>
      <w:pPr>
        <w:ind w:left="425" w:hanging="425"/>
      </w:pPr>
      <w:rPr>
        <w:rFonts w:hint="default"/>
      </w:rPr>
    </w:lvl>
  </w:abstractNum>
  <w:abstractNum w:abstractNumId="3">
    <w:nsid w:val="F2EAE15F"/>
    <w:multiLevelType w:val="singleLevel"/>
    <w:tmpl w:val="F2EAE15F"/>
    <w:lvl w:ilvl="0" w:tentative="0">
      <w:start w:val="1"/>
      <w:numFmt w:val="decimal"/>
      <w:lvlText w:val="%1."/>
      <w:lvlJc w:val="left"/>
      <w:pPr>
        <w:ind w:left="425" w:hanging="425"/>
      </w:pPr>
      <w:rPr>
        <w:rFonts w:hint="default"/>
      </w:rPr>
    </w:lvl>
  </w:abstractNum>
  <w:abstractNum w:abstractNumId="4">
    <w:nsid w:val="3EDBBD92"/>
    <w:multiLevelType w:val="singleLevel"/>
    <w:tmpl w:val="3EDBBD92"/>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6E5C31"/>
    <w:rsid w:val="046917C8"/>
    <w:rsid w:val="09104908"/>
    <w:rsid w:val="094105E4"/>
    <w:rsid w:val="0955056D"/>
    <w:rsid w:val="12ED4E2B"/>
    <w:rsid w:val="14D233B9"/>
    <w:rsid w:val="17343EB7"/>
    <w:rsid w:val="190030E0"/>
    <w:rsid w:val="1F1A2F3D"/>
    <w:rsid w:val="20592BE1"/>
    <w:rsid w:val="21BA76AF"/>
    <w:rsid w:val="23614286"/>
    <w:rsid w:val="23A67EEB"/>
    <w:rsid w:val="2C5D75B5"/>
    <w:rsid w:val="313E6147"/>
    <w:rsid w:val="31807FCD"/>
    <w:rsid w:val="34441B8B"/>
    <w:rsid w:val="379711CD"/>
    <w:rsid w:val="38347120"/>
    <w:rsid w:val="3880197B"/>
    <w:rsid w:val="397A13EA"/>
    <w:rsid w:val="3DD05E38"/>
    <w:rsid w:val="47044DA5"/>
    <w:rsid w:val="48763A80"/>
    <w:rsid w:val="4E29093D"/>
    <w:rsid w:val="4FB355BA"/>
    <w:rsid w:val="4FEE57DE"/>
    <w:rsid w:val="4FFC486B"/>
    <w:rsid w:val="511052E9"/>
    <w:rsid w:val="54BC0A6D"/>
    <w:rsid w:val="65F07C12"/>
    <w:rsid w:val="67006EDF"/>
    <w:rsid w:val="67F3434E"/>
    <w:rsid w:val="6F2D6397"/>
    <w:rsid w:val="71D21648"/>
    <w:rsid w:val="73FF17E4"/>
    <w:rsid w:val="748E5B2A"/>
    <w:rsid w:val="76FB245E"/>
    <w:rsid w:val="771A5453"/>
    <w:rsid w:val="7B7F7F7B"/>
    <w:rsid w:val="7D5234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3580</Words>
  <Characters>3777</Characters>
  <Lines>0</Lines>
  <Paragraphs>0</Paragraphs>
  <TotalTime>0</TotalTime>
  <ScaleCrop>false</ScaleCrop>
  <LinksUpToDate>false</LinksUpToDate>
  <CharactersWithSpaces>3873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2025-08-25T17:44:00Z</dcterms:created>
  <dc:creator>谢永刚</dc:creator>
  <cp:lastModifiedBy>nancy杨茜</cp:lastModifiedBy>
  <dcterms:modified xsi:type="dcterms:W3CDTF">2026-01-07T12:01:27Z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2025-08-27T12:44:24Z</vt:filetime>
  </property>
  <property fmtid="{D5CDD505-2E9C-101B-9397-08002B2CF9AE}" pid="3" name="CRO">
    <vt:lpwstr>wqlLaW5nc29mdCBQREYgdG8gV1BTIDExNQ</vt:lpwstr>
  </property>
  <property fmtid="{D5CDD505-2E9C-101B-9397-08002B2CF9AE}" pid="4" name="ICV">
    <vt:lpwstr>EA4FCF6DA0724C69BBCCCE71057F54DA_12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