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88CAC7">
      <w:pPr>
        <w:pStyle w:val="26"/>
        <w:bidi w:val="0"/>
        <w:rPr>
          <w:rFonts w:hint="eastAsia"/>
        </w:rPr>
      </w:pPr>
      <w:bookmarkStart w:id="0" w:name="_Toc12419"/>
    </w:p>
    <w:p w14:paraId="188E0409">
      <w:pPr>
        <w:pStyle w:val="26"/>
        <w:bidi w:val="0"/>
      </w:pPr>
      <w:r>
        <w:rPr>
          <w:rFonts w:hint="eastAsia"/>
        </w:rPr>
        <w:t>临夏回族自治州中医医院“智慧银医”项目</w:t>
      </w:r>
      <w:r>
        <w:t>可用性计划</w:t>
      </w:r>
      <w:bookmarkEnd w:id="0"/>
    </w:p>
    <w:p w14:paraId="786C1A2F">
      <w:pPr>
        <w:pStyle w:val="27"/>
        <w:bidi w:val="0"/>
      </w:pPr>
      <w:bookmarkStart w:id="1" w:name="_Toc3462"/>
      <w:r>
        <w:t>甘肃国邦信息科技有限公司</w:t>
      </w:r>
      <w:bookmarkEnd w:id="1"/>
    </w:p>
    <w:p w14:paraId="6DE319B3">
      <w:pPr>
        <w:spacing w:before="117" w:line="219" w:lineRule="auto"/>
        <w:jc w:val="center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2"/>
          <w:sz w:val="36"/>
          <w:szCs w:val="36"/>
        </w:rPr>
        <w:t>202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5</w:t>
      </w:r>
      <w:r>
        <w:rPr>
          <w:rFonts w:ascii="宋体" w:hAnsi="宋体" w:eastAsia="宋体" w:cs="宋体"/>
          <w:spacing w:val="-2"/>
          <w:sz w:val="36"/>
          <w:szCs w:val="36"/>
        </w:rPr>
        <w:t>-01-04</w:t>
      </w:r>
    </w:p>
    <w:p w14:paraId="6C7CFB59">
      <w:r>
        <w:br w:type="page"/>
      </w:r>
    </w:p>
    <w:p w14:paraId="7DEDE57F">
      <w:pPr>
        <w:spacing w:before="69" w:line="220" w:lineRule="auto"/>
        <w:ind w:left="3954"/>
        <w:outlineLvl w:val="0"/>
        <w:rPr>
          <w:rFonts w:ascii="宋体" w:hAnsi="宋体" w:eastAsia="宋体" w:cs="宋体"/>
          <w:sz w:val="21"/>
          <w:szCs w:val="21"/>
        </w:rPr>
      </w:pPr>
      <w:bookmarkStart w:id="2" w:name="_Toc24087"/>
      <w:r>
        <w:rPr>
          <w:rFonts w:ascii="宋体" w:hAnsi="宋体" w:eastAsia="宋体" w:cs="宋体"/>
          <w:spacing w:val="-2"/>
          <w:sz w:val="21"/>
          <w:szCs w:val="21"/>
        </w:rPr>
        <w:t>文档信息</w:t>
      </w:r>
      <w:bookmarkEnd w:id="2"/>
    </w:p>
    <w:p w14:paraId="36409747">
      <w:pPr>
        <w:spacing w:line="16" w:lineRule="exact"/>
      </w:pPr>
    </w:p>
    <w:tbl>
      <w:tblPr>
        <w:tblStyle w:val="24"/>
        <w:tblW w:w="9071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5"/>
        <w:gridCol w:w="2302"/>
        <w:gridCol w:w="1557"/>
        <w:gridCol w:w="1953"/>
      </w:tblGrid>
      <w:tr w14:paraId="204FE0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64A68E17">
            <w:pPr>
              <w:pStyle w:val="25"/>
              <w:spacing w:before="19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367" w:type="dxa"/>
            <w:gridSpan w:val="4"/>
          </w:tcPr>
          <w:p w14:paraId="64EABAF2">
            <w:pPr>
              <w:pStyle w:val="25"/>
              <w:spacing w:before="200" w:line="218" w:lineRule="auto"/>
              <w:ind w:left="108"/>
            </w:pPr>
            <w:r>
              <w:rPr>
                <w:rFonts w:hint="eastAsia" w:eastAsia="宋体"/>
                <w:spacing w:val="-1"/>
                <w:lang w:val="en-US" w:eastAsia="zh-CN"/>
              </w:rPr>
              <w:t>可用性计划</w:t>
            </w:r>
            <w:r>
              <w:rPr>
                <w:spacing w:val="-1"/>
              </w:rPr>
              <w:t>（GSGB-ITSS-</w:t>
            </w:r>
            <w:r>
              <w:rPr>
                <w:rFonts w:hint="eastAsia" w:eastAsia="宋体"/>
                <w:spacing w:val="-1"/>
                <w:lang w:val="en-US" w:eastAsia="zh-CN"/>
              </w:rPr>
              <w:t>KYXJH</w:t>
            </w:r>
            <w:r>
              <w:rPr>
                <w:spacing w:val="-1"/>
              </w:rPr>
              <w:t>）</w:t>
            </w:r>
          </w:p>
        </w:tc>
      </w:tr>
      <w:tr w14:paraId="4722EF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66A19658">
            <w:pPr>
              <w:pStyle w:val="25"/>
              <w:spacing w:before="19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7367" w:type="dxa"/>
            <w:gridSpan w:val="4"/>
          </w:tcPr>
          <w:p w14:paraId="76C6AD81">
            <w:pPr>
              <w:pStyle w:val="25"/>
              <w:spacing w:before="197" w:line="219" w:lineRule="auto"/>
              <w:ind w:left="108"/>
            </w:pPr>
            <w:r>
              <w:rPr>
                <w:spacing w:val="-1"/>
              </w:rPr>
              <w:t>甘肃国邦信息科技有限公司</w:t>
            </w:r>
          </w:p>
        </w:tc>
      </w:tr>
      <w:tr w14:paraId="5AE06E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68E0D088">
            <w:pPr>
              <w:pStyle w:val="25"/>
              <w:spacing w:before="199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5" w:type="dxa"/>
          </w:tcPr>
          <w:p w14:paraId="4982727C">
            <w:pPr>
              <w:pStyle w:val="25"/>
              <w:spacing w:before="199" w:line="219" w:lineRule="auto"/>
              <w:ind w:left="359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0756ED21">
            <w:pPr>
              <w:pStyle w:val="25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6346F2C8">
            <w:pPr>
              <w:pStyle w:val="25"/>
              <w:spacing w:before="199" w:line="220" w:lineRule="auto"/>
              <w:ind w:left="575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619BBFBD">
            <w:pPr>
              <w:pStyle w:val="25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 w14:paraId="7F864C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5EA5FDFB">
            <w:pPr>
              <w:pStyle w:val="25"/>
              <w:spacing w:before="163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 w14:paraId="7B51811F">
            <w:pPr>
              <w:pStyle w:val="25"/>
              <w:spacing w:before="163"/>
              <w:ind w:left="361"/>
            </w:pPr>
            <w:r>
              <w:rPr>
                <w:spacing w:val="-2"/>
              </w:rPr>
              <w:t>20</w:t>
            </w:r>
            <w:r>
              <w:rPr>
                <w:rFonts w:hint="eastAsia" w:eastAsia="宋体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-1-4</w:t>
            </w:r>
          </w:p>
        </w:tc>
        <w:tc>
          <w:tcPr>
            <w:tcW w:w="2302" w:type="dxa"/>
          </w:tcPr>
          <w:p w14:paraId="7E91D167">
            <w:pPr>
              <w:pStyle w:val="25"/>
              <w:spacing w:before="133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74D573C1">
            <w:pPr>
              <w:pStyle w:val="25"/>
              <w:spacing w:before="134" w:line="220" w:lineRule="auto"/>
              <w:ind w:left="48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胡葛鹏宇</w:t>
            </w:r>
          </w:p>
        </w:tc>
        <w:tc>
          <w:tcPr>
            <w:tcW w:w="1953" w:type="dxa"/>
          </w:tcPr>
          <w:p w14:paraId="57B10CF4">
            <w:pPr>
              <w:pStyle w:val="25"/>
              <w:spacing w:before="133" w:line="220" w:lineRule="auto"/>
              <w:ind w:left="672"/>
            </w:pPr>
            <w:r>
              <w:rPr>
                <w:spacing w:val="-3"/>
              </w:rPr>
              <w:t>黄益溪</w:t>
            </w:r>
          </w:p>
        </w:tc>
      </w:tr>
      <w:tr w14:paraId="2D2EBF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16AD4970">
            <w:pPr>
              <w:pStyle w:val="25"/>
              <w:spacing w:before="164" w:line="239" w:lineRule="auto"/>
              <w:ind w:left="638"/>
            </w:pPr>
          </w:p>
        </w:tc>
        <w:tc>
          <w:tcPr>
            <w:tcW w:w="1555" w:type="dxa"/>
          </w:tcPr>
          <w:p w14:paraId="303D3188">
            <w:pPr>
              <w:pStyle w:val="25"/>
              <w:spacing w:before="164"/>
              <w:ind w:left="361"/>
            </w:pPr>
          </w:p>
        </w:tc>
        <w:tc>
          <w:tcPr>
            <w:tcW w:w="2302" w:type="dxa"/>
          </w:tcPr>
          <w:p w14:paraId="25CF3833">
            <w:pPr>
              <w:pStyle w:val="25"/>
              <w:spacing w:before="134" w:line="219" w:lineRule="auto"/>
              <w:ind w:left="737"/>
            </w:pPr>
          </w:p>
        </w:tc>
        <w:tc>
          <w:tcPr>
            <w:tcW w:w="1557" w:type="dxa"/>
          </w:tcPr>
          <w:p w14:paraId="23D7D27D">
            <w:pPr>
              <w:pStyle w:val="25"/>
              <w:spacing w:before="135" w:line="220" w:lineRule="auto"/>
              <w:ind w:left="480"/>
            </w:pPr>
          </w:p>
        </w:tc>
        <w:tc>
          <w:tcPr>
            <w:tcW w:w="1953" w:type="dxa"/>
          </w:tcPr>
          <w:p w14:paraId="2361D238">
            <w:pPr>
              <w:pStyle w:val="25"/>
              <w:spacing w:before="134" w:line="220" w:lineRule="auto"/>
              <w:ind w:left="672"/>
            </w:pPr>
          </w:p>
        </w:tc>
      </w:tr>
      <w:tr w14:paraId="2C1CB9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081F6417">
            <w:pPr>
              <w:pStyle w:val="25"/>
              <w:spacing w:before="165" w:line="239" w:lineRule="auto"/>
              <w:ind w:left="638"/>
            </w:pPr>
          </w:p>
        </w:tc>
        <w:tc>
          <w:tcPr>
            <w:tcW w:w="1555" w:type="dxa"/>
          </w:tcPr>
          <w:p w14:paraId="700D4AD8">
            <w:pPr>
              <w:pStyle w:val="25"/>
              <w:spacing w:before="165"/>
              <w:ind w:left="361"/>
            </w:pPr>
          </w:p>
        </w:tc>
        <w:tc>
          <w:tcPr>
            <w:tcW w:w="2302" w:type="dxa"/>
          </w:tcPr>
          <w:p w14:paraId="36C47C98">
            <w:pPr>
              <w:pStyle w:val="25"/>
              <w:spacing w:before="135" w:line="219" w:lineRule="auto"/>
              <w:ind w:left="737"/>
            </w:pPr>
          </w:p>
        </w:tc>
        <w:tc>
          <w:tcPr>
            <w:tcW w:w="1557" w:type="dxa"/>
          </w:tcPr>
          <w:p w14:paraId="2DD61249">
            <w:pPr>
              <w:pStyle w:val="25"/>
              <w:spacing w:before="136" w:line="220" w:lineRule="auto"/>
              <w:ind w:left="480"/>
            </w:pPr>
          </w:p>
        </w:tc>
        <w:tc>
          <w:tcPr>
            <w:tcW w:w="1953" w:type="dxa"/>
          </w:tcPr>
          <w:p w14:paraId="22E8FE6D">
            <w:pPr>
              <w:pStyle w:val="25"/>
              <w:spacing w:before="135" w:line="220" w:lineRule="auto"/>
              <w:ind w:left="672"/>
            </w:pPr>
          </w:p>
        </w:tc>
      </w:tr>
      <w:tr w14:paraId="3C288F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1E6FC3CE">
            <w:pPr>
              <w:pStyle w:val="25"/>
              <w:spacing w:before="166" w:line="239" w:lineRule="auto"/>
              <w:ind w:left="638"/>
            </w:pPr>
          </w:p>
        </w:tc>
        <w:tc>
          <w:tcPr>
            <w:tcW w:w="1555" w:type="dxa"/>
          </w:tcPr>
          <w:p w14:paraId="2BA2FA3D">
            <w:pPr>
              <w:pStyle w:val="25"/>
              <w:spacing w:before="166"/>
              <w:ind w:left="361"/>
            </w:pPr>
          </w:p>
        </w:tc>
        <w:tc>
          <w:tcPr>
            <w:tcW w:w="2302" w:type="dxa"/>
          </w:tcPr>
          <w:p w14:paraId="4DFCBE8C">
            <w:pPr>
              <w:pStyle w:val="25"/>
              <w:spacing w:before="136" w:line="219" w:lineRule="auto"/>
              <w:ind w:left="737"/>
            </w:pPr>
          </w:p>
        </w:tc>
        <w:tc>
          <w:tcPr>
            <w:tcW w:w="1557" w:type="dxa"/>
          </w:tcPr>
          <w:p w14:paraId="71028237">
            <w:pPr>
              <w:pStyle w:val="25"/>
              <w:spacing w:before="137" w:line="220" w:lineRule="auto"/>
              <w:ind w:left="480"/>
            </w:pPr>
          </w:p>
        </w:tc>
        <w:tc>
          <w:tcPr>
            <w:tcW w:w="1953" w:type="dxa"/>
          </w:tcPr>
          <w:p w14:paraId="692554B7">
            <w:pPr>
              <w:pStyle w:val="25"/>
              <w:spacing w:before="136" w:line="220" w:lineRule="auto"/>
              <w:ind w:left="672"/>
            </w:pPr>
          </w:p>
        </w:tc>
      </w:tr>
      <w:tr w14:paraId="06349C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4C490FC6">
            <w:pPr>
              <w:rPr>
                <w:rFonts w:ascii="Arial"/>
                <w:sz w:val="21"/>
              </w:rPr>
            </w:pPr>
          </w:p>
        </w:tc>
        <w:tc>
          <w:tcPr>
            <w:tcW w:w="1555" w:type="dxa"/>
          </w:tcPr>
          <w:p w14:paraId="1CD842F5">
            <w:pPr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01230654">
            <w:pPr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2A212D28">
            <w:pPr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634ACA1F">
            <w:pPr>
              <w:rPr>
                <w:rFonts w:ascii="Arial"/>
                <w:sz w:val="21"/>
              </w:rPr>
            </w:pPr>
          </w:p>
        </w:tc>
      </w:tr>
    </w:tbl>
    <w:p w14:paraId="29122B61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3573"/>
        <w15:color w:val="DBDBDB"/>
        <w:docPartObj>
          <w:docPartGallery w:val="Table of Contents"/>
          <w:docPartUnique/>
        </w:docPartObj>
      </w:sdtPr>
      <w:sdtEndPr>
        <w:rPr>
          <w:rFonts w:ascii="Arial" w:hAnsi="Arial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15A3344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8A69DB1">
          <w:pPr>
            <w:pStyle w:val="16"/>
            <w:tabs>
              <w:tab w:val="right" w:leader="dot" w:pos="9743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_Toc12419 </w:instrText>
          </w:r>
          <w:r>
            <w:fldChar w:fldCharType="separate"/>
          </w:r>
          <w:r>
            <w:rPr>
              <w:rFonts w:hint="eastAsia"/>
            </w:rPr>
            <w:t>临夏回族自治州中医医院“智慧银医”项目</w:t>
          </w:r>
          <w:r>
            <w:t>可用性计划</w:t>
          </w:r>
          <w:r>
            <w:tab/>
          </w:r>
          <w:r>
            <w:fldChar w:fldCharType="begin"/>
          </w:r>
          <w:r>
            <w:instrText xml:space="preserve"> PAGEREF _Toc12419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66543AB">
          <w:pPr>
            <w:pStyle w:val="16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_Toc3462 </w:instrText>
          </w:r>
          <w:r>
            <w:fldChar w:fldCharType="separate"/>
          </w:r>
          <w:r>
            <w:t>甘肃国邦信息科技有限公司</w:t>
          </w:r>
          <w:r>
            <w:tab/>
          </w:r>
          <w:r>
            <w:fldChar w:fldCharType="begin"/>
          </w:r>
          <w:r>
            <w:instrText xml:space="preserve"> PAGEREF _Toc3462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7770787">
          <w:pPr>
            <w:pStyle w:val="16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_Toc24087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Cs w:val="21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_Toc24087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2487C7B">
          <w:pPr>
            <w:pStyle w:val="16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_Toc19593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_Toc19593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0391743">
          <w:pPr>
            <w:pStyle w:val="16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_Toc23538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范围</w:t>
          </w:r>
          <w:r>
            <w:tab/>
          </w:r>
          <w:r>
            <w:fldChar w:fldCharType="begin"/>
          </w:r>
          <w:r>
            <w:instrText xml:space="preserve"> PAGEREF _Toc23538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596D109">
          <w:pPr>
            <w:pStyle w:val="16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_Toc27621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可用性需求</w:t>
          </w:r>
          <w:r>
            <w:tab/>
          </w:r>
          <w:r>
            <w:fldChar w:fldCharType="begin"/>
          </w:r>
          <w:r>
            <w:instrText xml:space="preserve"> PAGEREF _Toc27621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888180F">
          <w:pPr>
            <w:pStyle w:val="16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_Toc22069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</w:rPr>
            <w:t>可用性目标与指标</w:t>
          </w:r>
          <w:r>
            <w:tab/>
          </w:r>
          <w:r>
            <w:fldChar w:fldCharType="begin"/>
          </w:r>
          <w:r>
            <w:instrText xml:space="preserve"> PAGEREF _Toc22069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167B664">
          <w:pPr>
            <w:pStyle w:val="16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_Toc2750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</w:rPr>
            <w:t>可用性管理策略</w:t>
          </w:r>
          <w:r>
            <w:tab/>
          </w:r>
          <w:r>
            <w:fldChar w:fldCharType="begin"/>
          </w:r>
          <w:r>
            <w:instrText xml:space="preserve"> PAGEREF _Toc2750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3BA89DC">
          <w:pPr>
            <w:pStyle w:val="16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_Toc3305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rPr>
              <w:rFonts w:hint="eastAsia"/>
            </w:rPr>
            <w:t>检测与监控机制</w:t>
          </w:r>
          <w:r>
            <w:tab/>
          </w:r>
          <w:r>
            <w:fldChar w:fldCharType="begin"/>
          </w:r>
          <w:r>
            <w:instrText xml:space="preserve"> PAGEREF _Toc3305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08A59CE">
          <w:pPr>
            <w:pStyle w:val="17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_Toc30853 </w:instrText>
          </w:r>
          <w:r>
            <w:fldChar w:fldCharType="separate"/>
          </w:r>
          <w:r>
            <w:rPr>
              <w:rFonts w:hint="default"/>
            </w:rPr>
            <w:t xml:space="preserve">6.1. </w:t>
          </w:r>
          <w:r>
            <w:rPr>
              <w:rFonts w:hint="eastAsia"/>
            </w:rPr>
            <w:t>人工巡检</w:t>
          </w:r>
          <w:r>
            <w:tab/>
          </w:r>
          <w:r>
            <w:fldChar w:fldCharType="begin"/>
          </w:r>
          <w:r>
            <w:instrText xml:space="preserve"> PAGEREF _Toc30853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E131103">
          <w:pPr>
            <w:pStyle w:val="17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_Toc11012 </w:instrText>
          </w:r>
          <w:r>
            <w:fldChar w:fldCharType="separate"/>
          </w:r>
          <w:r>
            <w:rPr>
              <w:rFonts w:hint="default"/>
            </w:rPr>
            <w:t xml:space="preserve">6.2. </w:t>
          </w:r>
          <w:r>
            <w:rPr>
              <w:rFonts w:hint="eastAsia"/>
            </w:rPr>
            <w:t>自动监控</w:t>
          </w:r>
          <w:r>
            <w:tab/>
          </w:r>
          <w:r>
            <w:fldChar w:fldCharType="begin"/>
          </w:r>
          <w:r>
            <w:instrText xml:space="preserve"> PAGEREF _Toc11012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6A74C47">
          <w:pPr>
            <w:pStyle w:val="16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_Toc4224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rPr>
              <w:rFonts w:hint="eastAsia"/>
            </w:rPr>
            <w:t>维护与优化流程</w:t>
          </w:r>
          <w:r>
            <w:tab/>
          </w:r>
          <w:r>
            <w:fldChar w:fldCharType="begin"/>
          </w:r>
          <w:r>
            <w:instrText xml:space="preserve"> PAGEREF _Toc4224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44D30BB">
          <w:pPr>
            <w:pStyle w:val="17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_Toc4691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rPr>
              <w:rFonts w:hint="eastAsia"/>
            </w:rPr>
            <w:t>定期维护</w:t>
          </w:r>
          <w:r>
            <w:tab/>
          </w:r>
          <w:r>
            <w:fldChar w:fldCharType="begin"/>
          </w:r>
          <w:r>
            <w:instrText xml:space="preserve"> PAGEREF _Toc4691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0145A73">
          <w:pPr>
            <w:pStyle w:val="17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_Toc14967 </w:instrText>
          </w:r>
          <w:r>
            <w:fldChar w:fldCharType="separate"/>
          </w:r>
          <w:r>
            <w:rPr>
              <w:rFonts w:hint="default"/>
            </w:rPr>
            <w:t xml:space="preserve">7.2. </w:t>
          </w:r>
          <w:r>
            <w:rPr>
              <w:rFonts w:hint="eastAsia"/>
            </w:rPr>
            <w:t>变更管理</w:t>
          </w:r>
          <w:r>
            <w:tab/>
          </w:r>
          <w:r>
            <w:fldChar w:fldCharType="begin"/>
          </w:r>
          <w:r>
            <w:instrText xml:space="preserve"> PAGEREF _Toc14967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A503238">
          <w:pPr>
            <w:pStyle w:val="16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_Toc11237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rPr>
              <w:rFonts w:hint="eastAsia"/>
            </w:rPr>
            <w:t>恢复与应急方案</w:t>
          </w:r>
          <w:r>
            <w:tab/>
          </w:r>
          <w:r>
            <w:fldChar w:fldCharType="begin"/>
          </w:r>
          <w:r>
            <w:instrText xml:space="preserve"> PAGEREF _Toc11237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9B51461">
          <w:pPr>
            <w:pStyle w:val="17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_Toc511 </w:instrText>
          </w:r>
          <w:r>
            <w:fldChar w:fldCharType="separate"/>
          </w:r>
          <w:r>
            <w:rPr>
              <w:rFonts w:hint="default"/>
            </w:rPr>
            <w:t xml:space="preserve">8.1. </w:t>
          </w:r>
          <w:r>
            <w:rPr>
              <w:rFonts w:hint="eastAsia"/>
            </w:rPr>
            <w:t>故障分级与响应</w:t>
          </w:r>
          <w:r>
            <w:tab/>
          </w:r>
          <w:r>
            <w:fldChar w:fldCharType="begin"/>
          </w:r>
          <w:r>
            <w:instrText xml:space="preserve"> PAGEREF _Toc511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1F83799">
          <w:pPr>
            <w:pStyle w:val="17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_Toc2226 </w:instrText>
          </w:r>
          <w:r>
            <w:fldChar w:fldCharType="separate"/>
          </w:r>
          <w:r>
            <w:rPr>
              <w:rFonts w:hint="default"/>
            </w:rPr>
            <w:t xml:space="preserve">8.2. </w:t>
          </w:r>
          <w:r>
            <w:rPr>
              <w:rFonts w:hint="eastAsia"/>
            </w:rPr>
            <w:t>恢复流程</w:t>
          </w:r>
          <w:r>
            <w:tab/>
          </w:r>
          <w:r>
            <w:fldChar w:fldCharType="begin"/>
          </w:r>
          <w:r>
            <w:instrText xml:space="preserve"> PAGEREF _Toc2226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B57D4FC">
          <w:pPr>
            <w:pStyle w:val="16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_Toc257 </w:instrText>
          </w:r>
          <w:r>
            <w:fldChar w:fldCharType="separate"/>
          </w:r>
          <w:r>
            <w:rPr>
              <w:rFonts w:hint="default"/>
            </w:rPr>
            <w:t xml:space="preserve">9. </w:t>
          </w:r>
          <w:r>
            <w:rPr>
              <w:rFonts w:hint="eastAsia"/>
            </w:rPr>
            <w:t>培训与演练</w:t>
          </w:r>
          <w:r>
            <w:tab/>
          </w:r>
          <w:r>
            <w:fldChar w:fldCharType="begin"/>
          </w:r>
          <w:r>
            <w:instrText xml:space="preserve"> PAGEREF _Toc257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44A3AF8">
          <w:r>
            <w:fldChar w:fldCharType="end"/>
          </w:r>
        </w:p>
      </w:sdtContent>
    </w:sdt>
    <w:p w14:paraId="4F14BEB9">
      <w:r>
        <w:rPr>
          <w:rFonts w:ascii="Arial" w:hAnsi="Arial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A437EAC">
      <w:pPr>
        <w:pStyle w:val="28"/>
        <w:bidi w:val="0"/>
        <w:rPr>
          <w:rFonts w:hint="eastAsia"/>
        </w:rPr>
      </w:pPr>
      <w:bookmarkStart w:id="3" w:name="_Toc19593"/>
      <w:r>
        <w:rPr>
          <w:rFonts w:hint="eastAsia"/>
        </w:rPr>
        <w:t>目的</w:t>
      </w:r>
      <w:bookmarkEnd w:id="3"/>
    </w:p>
    <w:p w14:paraId="0A0C2C5C">
      <w:pPr>
        <w:pStyle w:val="29"/>
        <w:bidi w:val="0"/>
        <w:rPr>
          <w:rFonts w:hint="eastAsia"/>
        </w:rPr>
      </w:pPr>
      <w:r>
        <w:rPr>
          <w:rFonts w:hint="eastAsia"/>
        </w:rPr>
        <w:t>为确保“智慧银医”系统（包括门诊自助终端、住院自助终端、诊间支付结算系统等）持续稳定运行，提升系统可用性，减少业务中断风险，优化患者就医体验，特制定本可用性计划。</w:t>
      </w:r>
    </w:p>
    <w:p w14:paraId="343A0DA1">
      <w:pPr>
        <w:pStyle w:val="28"/>
        <w:bidi w:val="0"/>
        <w:rPr>
          <w:rFonts w:hint="eastAsia"/>
        </w:rPr>
      </w:pPr>
      <w:bookmarkStart w:id="4" w:name="_Toc23538"/>
      <w:r>
        <w:rPr>
          <w:rFonts w:hint="eastAsia"/>
        </w:rPr>
        <w:t>范围</w:t>
      </w:r>
      <w:bookmarkEnd w:id="4"/>
    </w:p>
    <w:p w14:paraId="666D6B19">
      <w:pPr>
        <w:pStyle w:val="29"/>
        <w:bidi w:val="0"/>
        <w:rPr>
          <w:rFonts w:hint="eastAsia"/>
        </w:rPr>
      </w:pPr>
      <w:r>
        <w:rPr>
          <w:rFonts w:hint="eastAsia"/>
        </w:rPr>
        <w:t>本计划适用于临夏回族自治州中医医院“智慧银医”项目所涉及的所有系统组件，包括：</w:t>
      </w:r>
    </w:p>
    <w:p w14:paraId="09B35B6A">
      <w:pPr>
        <w:pStyle w:val="3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门诊自助终端系统</w:t>
      </w:r>
    </w:p>
    <w:p w14:paraId="34460BB2">
      <w:pPr>
        <w:pStyle w:val="3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住院自助终端系统</w:t>
      </w:r>
    </w:p>
    <w:p w14:paraId="3F65B99F">
      <w:pPr>
        <w:pStyle w:val="3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诊间支付结算系统</w:t>
      </w:r>
    </w:p>
    <w:p w14:paraId="58C29D1F">
      <w:pPr>
        <w:pStyle w:val="3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相关接口服务（HIS、医保等）</w:t>
      </w:r>
    </w:p>
    <w:p w14:paraId="1B5B3902">
      <w:pPr>
        <w:pStyle w:val="3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服务器、网络设备及存储设施</w:t>
      </w:r>
    </w:p>
    <w:p w14:paraId="223E3C89">
      <w:pPr>
        <w:pStyle w:val="28"/>
        <w:bidi w:val="0"/>
        <w:rPr>
          <w:rFonts w:hint="eastAsia"/>
        </w:rPr>
      </w:pPr>
      <w:bookmarkStart w:id="5" w:name="_Toc27621"/>
      <w:r>
        <w:rPr>
          <w:rFonts w:hint="eastAsia"/>
        </w:rPr>
        <w:t>可用性需求</w:t>
      </w:r>
      <w:bookmarkEnd w:id="5"/>
    </w:p>
    <w:p w14:paraId="4831BDD7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结合项目需求分析报告，系统需满足以下可用性要求：</w:t>
      </w:r>
    </w:p>
    <w:p w14:paraId="21EE0917">
      <w:pPr>
        <w:pStyle w:val="39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运行时间：7×24小时不间断服务。</w:t>
      </w:r>
    </w:p>
    <w:p w14:paraId="0CFD84C1">
      <w:pPr>
        <w:pStyle w:val="39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计划内停机：系统升级、维护等操作需提前通知院方，并避开就诊高峰时段（上午8:00–12:00）。</w:t>
      </w:r>
    </w:p>
    <w:p w14:paraId="247FF51F">
      <w:pPr>
        <w:pStyle w:val="39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故障恢复：系统应具备快速故障检测与恢复能力，最大程度减少业务中断时间。</w:t>
      </w:r>
    </w:p>
    <w:p w14:paraId="5EFB53A4">
      <w:pPr>
        <w:pStyle w:val="39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性能保障：响应时间需满足需求报告中的性能指标（查询≤2秒、统计≤180秒）。</w:t>
      </w:r>
    </w:p>
    <w:p w14:paraId="44FF40FC">
      <w:pPr>
        <w:pStyle w:val="28"/>
        <w:bidi w:val="0"/>
        <w:rPr>
          <w:rFonts w:hint="eastAsia"/>
        </w:rPr>
      </w:pPr>
      <w:bookmarkStart w:id="6" w:name="_Toc22069"/>
      <w:r>
        <w:rPr>
          <w:rFonts w:hint="eastAsia"/>
        </w:rPr>
        <w:t>可用性目标与指标</w:t>
      </w:r>
      <w:bookmarkEnd w:id="6"/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7"/>
        <w:gridCol w:w="2354"/>
        <w:gridCol w:w="4993"/>
      </w:tblGrid>
      <w:tr w14:paraId="6C630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DDFE9D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指标项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DCBD1E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目标值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702B62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37BA7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77A6BC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系统可用性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894590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≥99%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C4B6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按月度统计，（可用时间 / 总运行时间）× 100%</w:t>
            </w:r>
          </w:p>
        </w:tc>
      </w:tr>
      <w:tr w14:paraId="1513E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20766D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计划内停机时长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5230B2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≤4小时/次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E7C72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升级、维护等操作需在非高峰时段进行，并提前通知</w:t>
            </w:r>
          </w:p>
        </w:tc>
      </w:tr>
      <w:tr w14:paraId="0B3BF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BEB38E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非计划中断次数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BD379E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≤1次/季度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56AD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因系统故障导致的非预期中断</w:t>
            </w:r>
          </w:p>
        </w:tc>
      </w:tr>
      <w:tr w14:paraId="39C36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8536D3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故障响应时间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9CCBA5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≤30分钟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3EFA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从故障上报至技术支持人员介入的时间</w:t>
            </w:r>
          </w:p>
        </w:tc>
      </w:tr>
      <w:tr w14:paraId="7269D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9AD868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故障恢复时间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461E74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≤2小时（核心功能）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D355F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P1级故障恢复时间，非核心功能≤4小时</w:t>
            </w:r>
          </w:p>
        </w:tc>
      </w:tr>
    </w:tbl>
    <w:p w14:paraId="17FF64E8">
      <w:pPr>
        <w:pStyle w:val="28"/>
        <w:bidi w:val="0"/>
        <w:rPr>
          <w:rFonts w:hint="eastAsia"/>
        </w:rPr>
      </w:pPr>
      <w:bookmarkStart w:id="7" w:name="_Toc2750"/>
      <w:r>
        <w:rPr>
          <w:rFonts w:hint="eastAsia"/>
        </w:rPr>
        <w:t>可用性管理策略</w:t>
      </w:r>
      <w:bookmarkEnd w:id="7"/>
    </w:p>
    <w:p w14:paraId="56E6E0CA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预防为主：定期巡检、健康检查、性能监控、安全加固。</w:t>
      </w:r>
    </w:p>
    <w:p w14:paraId="0AE46729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快速响应：建立7×24小时监控与响应机制，分级处理故障。</w:t>
      </w:r>
    </w:p>
    <w:p w14:paraId="4D2830F1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持续优化：基于运行数据与事件分析，持续优化系统架构与配置。</w:t>
      </w:r>
    </w:p>
    <w:p w14:paraId="6E728A22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文档化管理：所有维护、变更、故障处理记录归档，便于审计与复盘。</w:t>
      </w:r>
    </w:p>
    <w:p w14:paraId="780694EE">
      <w:pPr>
        <w:pStyle w:val="28"/>
        <w:bidi w:val="0"/>
        <w:rPr>
          <w:rFonts w:hint="eastAsia"/>
        </w:rPr>
      </w:pPr>
      <w:bookmarkStart w:id="8" w:name="_Toc3305"/>
      <w:r>
        <w:rPr>
          <w:rFonts w:hint="eastAsia"/>
        </w:rPr>
        <w:t>检测与监控机制</w:t>
      </w:r>
      <w:bookmarkEnd w:id="8"/>
    </w:p>
    <w:p w14:paraId="7C0A082A">
      <w:pPr>
        <w:pStyle w:val="30"/>
        <w:bidi w:val="0"/>
        <w:rPr>
          <w:rFonts w:hint="eastAsia"/>
        </w:rPr>
      </w:pPr>
      <w:bookmarkStart w:id="9" w:name="_Toc30853"/>
      <w:r>
        <w:rPr>
          <w:rFonts w:hint="eastAsia"/>
        </w:rPr>
        <w:t>人工巡检</w:t>
      </w:r>
      <w:bookmarkEnd w:id="9"/>
    </w:p>
    <w:p w14:paraId="4490516F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频率：每周一次</w:t>
      </w:r>
    </w:p>
    <w:p w14:paraId="180F284A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内容：</w:t>
      </w:r>
    </w:p>
    <w:p w14:paraId="6BB957A2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硬件状态（自助终端、服务器、网络设备）</w:t>
      </w:r>
    </w:p>
    <w:p w14:paraId="482E9A4A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系统日志分析（错误日志、交易日志、安全日志）</w:t>
      </w:r>
    </w:p>
    <w:p w14:paraId="63599F39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数据库状态与备份完整性检查</w:t>
      </w:r>
    </w:p>
    <w:p w14:paraId="46C8868D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接口连通性测试（HIS、医保等）</w:t>
      </w:r>
    </w:p>
    <w:p w14:paraId="253F18F8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记录：填写《系统巡检记录表》，异常立即上报。</w:t>
      </w:r>
    </w:p>
    <w:p w14:paraId="514B1DDE">
      <w:pPr>
        <w:pStyle w:val="30"/>
        <w:bidi w:val="0"/>
        <w:rPr>
          <w:rFonts w:hint="eastAsia"/>
        </w:rPr>
      </w:pPr>
      <w:bookmarkStart w:id="10" w:name="_Toc11012"/>
      <w:r>
        <w:rPr>
          <w:rFonts w:hint="eastAsia"/>
        </w:rPr>
        <w:t>自动监控</w:t>
      </w:r>
      <w:bookmarkEnd w:id="10"/>
    </w:p>
    <w:p w14:paraId="7FC8DAAA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监控工具：部署集中监控系统（如Zabbix、Prometheus）</w:t>
      </w:r>
    </w:p>
    <w:p w14:paraId="511BC6A1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监控范围：</w:t>
      </w:r>
    </w:p>
    <w:p w14:paraId="61406A75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服务器资源（CPU、内存、磁盘、网络）</w:t>
      </w:r>
    </w:p>
    <w:p w14:paraId="20D27ADD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应用服务状态（自助终端服务、支付服务、接口服务）</w:t>
      </w:r>
    </w:p>
    <w:p w14:paraId="1069585D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数据库性能（连接数、响应时间、锁状态）</w:t>
      </w:r>
    </w:p>
    <w:p w14:paraId="09DBCA8F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业务交易成功率与响应时间</w:t>
      </w:r>
    </w:p>
    <w:p w14:paraId="244A3D52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告警机制：阈值触发告警，通过短信、邮件、钉钉通知运维团队。</w:t>
      </w:r>
    </w:p>
    <w:p w14:paraId="04422B51">
      <w:pPr>
        <w:pStyle w:val="28"/>
        <w:bidi w:val="0"/>
        <w:rPr>
          <w:rFonts w:hint="eastAsia"/>
        </w:rPr>
      </w:pPr>
      <w:bookmarkStart w:id="11" w:name="_Toc4224"/>
      <w:r>
        <w:rPr>
          <w:rFonts w:hint="eastAsia"/>
        </w:rPr>
        <w:t>维护与优化流程</w:t>
      </w:r>
      <w:bookmarkEnd w:id="11"/>
    </w:p>
    <w:p w14:paraId="03EFC962">
      <w:pPr>
        <w:pStyle w:val="30"/>
        <w:bidi w:val="0"/>
        <w:rPr>
          <w:rFonts w:hint="eastAsia"/>
        </w:rPr>
      </w:pPr>
      <w:bookmarkStart w:id="12" w:name="_Toc4691"/>
      <w:r>
        <w:rPr>
          <w:rFonts w:hint="eastAsia"/>
        </w:rPr>
        <w:t>定期维护</w:t>
      </w:r>
      <w:bookmarkEnd w:id="12"/>
    </w:p>
    <w:p w14:paraId="17A3F7CB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系统更新：每月评估并安装安全补丁与系统更新。</w:t>
      </w:r>
    </w:p>
    <w:p w14:paraId="3E4D036C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性能调优：每季度进行系统性能分析与优化。</w:t>
      </w:r>
    </w:p>
    <w:p w14:paraId="32E14122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备份验证：每周验证备份数据的完整性与可恢复性。</w:t>
      </w:r>
    </w:p>
    <w:p w14:paraId="33AFBD91">
      <w:pPr>
        <w:pStyle w:val="30"/>
        <w:bidi w:val="0"/>
        <w:rPr>
          <w:rFonts w:hint="eastAsia"/>
        </w:rPr>
      </w:pPr>
      <w:bookmarkStart w:id="13" w:name="_Toc14967"/>
      <w:r>
        <w:rPr>
          <w:rFonts w:hint="eastAsia"/>
        </w:rPr>
        <w:t>变更管理</w:t>
      </w:r>
      <w:bookmarkEnd w:id="13"/>
    </w:p>
    <w:p w14:paraId="2BAE67B3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所有变更需提交《变更请求》（RFC），进行影响评估。</w:t>
      </w:r>
    </w:p>
    <w:p w14:paraId="420C1A23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变更执行需在维护窗口内（如夜间22:00–次日6:00）。</w:t>
      </w:r>
    </w:p>
    <w:p w14:paraId="306121B2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变更后需进行功能与性能验证。</w:t>
      </w:r>
    </w:p>
    <w:p w14:paraId="00797F03">
      <w:pPr>
        <w:pStyle w:val="28"/>
        <w:bidi w:val="0"/>
        <w:rPr>
          <w:rFonts w:hint="eastAsia"/>
        </w:rPr>
      </w:pPr>
      <w:bookmarkStart w:id="14" w:name="_Toc11237"/>
      <w:r>
        <w:rPr>
          <w:rFonts w:hint="eastAsia"/>
        </w:rPr>
        <w:t>恢复与应急方案</w:t>
      </w:r>
      <w:bookmarkEnd w:id="14"/>
    </w:p>
    <w:p w14:paraId="1301EB33">
      <w:pPr>
        <w:pStyle w:val="30"/>
        <w:bidi w:val="0"/>
        <w:rPr>
          <w:rFonts w:hint="eastAsia"/>
        </w:rPr>
      </w:pPr>
      <w:bookmarkStart w:id="15" w:name="_Toc511"/>
      <w:r>
        <w:rPr>
          <w:rFonts w:hint="eastAsia"/>
        </w:rPr>
        <w:t>故障分级与响应</w:t>
      </w:r>
      <w:bookmarkEnd w:id="15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7"/>
        <w:gridCol w:w="3084"/>
        <w:gridCol w:w="1104"/>
        <w:gridCol w:w="1997"/>
      </w:tblGrid>
      <w:tr w14:paraId="78526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6DA78E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故障等级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CF3511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影响范围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2FD36E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响应时限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153576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升级机制</w:t>
            </w:r>
          </w:p>
        </w:tc>
      </w:tr>
      <w:tr w14:paraId="41470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C77B90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P1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6E91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系统完全不可用，影响就诊流程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86F6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≤15分钟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9BD1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立即通知项目负责人</w:t>
            </w:r>
          </w:p>
        </w:tc>
      </w:tr>
      <w:tr w14:paraId="33D2F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3B327A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P2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E9A7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核心功能异常（如支付失败）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C9C9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≤30分钟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AA36B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1小时内上报运维经理</w:t>
            </w:r>
          </w:p>
        </w:tc>
      </w:tr>
      <w:tr w14:paraId="3D2E6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EBA741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P3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0E25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非核心功能异常（如报告打印慢）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77A3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≤2小时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0C186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日常处理，记录并跟踪</w:t>
            </w:r>
          </w:p>
        </w:tc>
      </w:tr>
    </w:tbl>
    <w:p w14:paraId="7FA61DDC">
      <w:pPr>
        <w:pStyle w:val="29"/>
        <w:rPr>
          <w:rFonts w:hint="eastAsia"/>
        </w:rPr>
      </w:pPr>
    </w:p>
    <w:p w14:paraId="2D039083">
      <w:pPr>
        <w:pStyle w:val="30"/>
        <w:bidi w:val="0"/>
        <w:rPr>
          <w:rFonts w:hint="eastAsia"/>
        </w:rPr>
      </w:pPr>
      <w:bookmarkStart w:id="16" w:name="_Toc2226"/>
      <w:r>
        <w:rPr>
          <w:rFonts w:hint="eastAsia"/>
        </w:rPr>
        <w:t>恢复流程</w:t>
      </w:r>
      <w:bookmarkEnd w:id="16"/>
    </w:p>
    <w:p w14:paraId="29F98D39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定位问题：通过监控与日志快速定位故障点。</w:t>
      </w:r>
    </w:p>
    <w:p w14:paraId="3C4E6BE7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临时恢复：如可能，启用备用设备或服务降级。</w:t>
      </w:r>
    </w:p>
    <w:p w14:paraId="68756985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根本解决：分析原因，实施修复。</w:t>
      </w:r>
    </w:p>
    <w:p w14:paraId="76B7E9DF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验证测试：恢复后进行业务功能验证。</w:t>
      </w:r>
    </w:p>
    <w:p w14:paraId="405C606F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记录报告：填写《故障处理报告》，组织复盘。</w:t>
      </w:r>
    </w:p>
    <w:p w14:paraId="63765DFE">
      <w:pPr>
        <w:pStyle w:val="28"/>
        <w:bidi w:val="0"/>
        <w:rPr>
          <w:rFonts w:hint="eastAsia"/>
        </w:rPr>
      </w:pPr>
      <w:bookmarkStart w:id="17" w:name="_Toc257"/>
      <w:r>
        <w:rPr>
          <w:rFonts w:hint="eastAsia"/>
        </w:rPr>
        <w:t>培训与演练</w:t>
      </w:r>
      <w:bookmarkEnd w:id="17"/>
    </w:p>
    <w:p w14:paraId="3FE7A2E8">
      <w:pPr>
        <w:pStyle w:val="39"/>
        <w:numPr>
          <w:ilvl w:val="0"/>
          <w:numId w:val="0"/>
        </w:numPr>
        <w:bidi w:val="0"/>
        <w:ind w:leftChars="0"/>
        <w:rPr>
          <w:rFonts w:hint="default" w:eastAsia="宋体"/>
          <w:lang w:val="en-US" w:eastAsia="zh-CN"/>
        </w:rPr>
      </w:pPr>
      <w:r>
        <w:rPr>
          <w:rFonts w:hint="eastAsia"/>
        </w:rPr>
        <w:t>培训频率：</w:t>
      </w:r>
      <w:r>
        <w:rPr>
          <w:rFonts w:hint="eastAsia"/>
          <w:lang w:val="en-US" w:eastAsia="zh-CN"/>
        </w:rPr>
        <w:t>按需培训</w:t>
      </w:r>
    </w:p>
    <w:p w14:paraId="025E8AB5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培训内容：系统架构、监控工具使用、故障处理流程、应急恢复操作</w:t>
      </w:r>
    </w:p>
    <w:p w14:paraId="12A97A92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演练频率：每半年至少一次模拟故障</w:t>
      </w:r>
      <w:r>
        <w:rPr>
          <w:rFonts w:hint="eastAsia"/>
          <w:lang w:val="en-US" w:eastAsia="zh-CN"/>
        </w:rPr>
        <w:t>应急</w:t>
      </w:r>
      <w:r>
        <w:rPr>
          <w:rFonts w:hint="eastAsia"/>
        </w:rPr>
        <w:t>演练</w:t>
      </w:r>
    </w:p>
    <w:p w14:paraId="2C1138DC">
      <w:pPr>
        <w:pStyle w:val="39"/>
        <w:numPr>
          <w:ilvl w:val="0"/>
          <w:numId w:val="0"/>
        </w:numPr>
        <w:bidi w:val="0"/>
        <w:ind w:leftChars="0"/>
      </w:pPr>
      <w:r>
        <w:rPr>
          <w:rFonts w:hint="eastAsia"/>
        </w:rPr>
        <w:t>演练目标：检验应急响应流程与团队协同能力</w:t>
      </w:r>
      <w:bookmarkStart w:id="18" w:name="_GoBack"/>
      <w:bookmarkEnd w:id="18"/>
    </w:p>
    <w:sectPr>
      <w:pgSz w:w="11906" w:h="16838"/>
      <w:pgMar w:top="1431" w:right="1076" w:bottom="1524" w:left="1087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2267CB"/>
    <w:multiLevelType w:val="singleLevel"/>
    <w:tmpl w:val="8C2267C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44C395B1"/>
    <w:multiLevelType w:val="singleLevel"/>
    <w:tmpl w:val="44C395B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F4690B"/>
    <w:rsid w:val="02CB1CF7"/>
    <w:rsid w:val="02E34C6C"/>
    <w:rsid w:val="03006561"/>
    <w:rsid w:val="04893C18"/>
    <w:rsid w:val="07886409"/>
    <w:rsid w:val="07DA3499"/>
    <w:rsid w:val="082B6007"/>
    <w:rsid w:val="09544EEC"/>
    <w:rsid w:val="0AFA5870"/>
    <w:rsid w:val="0B310B66"/>
    <w:rsid w:val="0D0C53E6"/>
    <w:rsid w:val="0D4A3D75"/>
    <w:rsid w:val="0D926342"/>
    <w:rsid w:val="0F28483C"/>
    <w:rsid w:val="104B4477"/>
    <w:rsid w:val="10546985"/>
    <w:rsid w:val="12922832"/>
    <w:rsid w:val="13051255"/>
    <w:rsid w:val="13655850"/>
    <w:rsid w:val="1CF33ECD"/>
    <w:rsid w:val="213F4A27"/>
    <w:rsid w:val="21A25EC1"/>
    <w:rsid w:val="22521696"/>
    <w:rsid w:val="22BD24AF"/>
    <w:rsid w:val="25897AC4"/>
    <w:rsid w:val="26D66D39"/>
    <w:rsid w:val="27201D62"/>
    <w:rsid w:val="288D5911"/>
    <w:rsid w:val="28AF426D"/>
    <w:rsid w:val="2BC90C1A"/>
    <w:rsid w:val="2C245E51"/>
    <w:rsid w:val="2DE81100"/>
    <w:rsid w:val="2E982B26"/>
    <w:rsid w:val="337C6572"/>
    <w:rsid w:val="348E2A01"/>
    <w:rsid w:val="3524513E"/>
    <w:rsid w:val="36070CBD"/>
    <w:rsid w:val="36D87F64"/>
    <w:rsid w:val="386D5023"/>
    <w:rsid w:val="38D702E8"/>
    <w:rsid w:val="3D811329"/>
    <w:rsid w:val="449A71A0"/>
    <w:rsid w:val="45CF69D6"/>
    <w:rsid w:val="499441BE"/>
    <w:rsid w:val="4BDF1724"/>
    <w:rsid w:val="4DFC4A28"/>
    <w:rsid w:val="50615016"/>
    <w:rsid w:val="50B64A0A"/>
    <w:rsid w:val="51624BA2"/>
    <w:rsid w:val="52946FDD"/>
    <w:rsid w:val="52C5363A"/>
    <w:rsid w:val="53A21BCD"/>
    <w:rsid w:val="58B24108"/>
    <w:rsid w:val="591F15CA"/>
    <w:rsid w:val="5A1530F9"/>
    <w:rsid w:val="5A53129F"/>
    <w:rsid w:val="5BF705DC"/>
    <w:rsid w:val="5F6B3CB5"/>
    <w:rsid w:val="5F906D7E"/>
    <w:rsid w:val="60097209"/>
    <w:rsid w:val="60E76E71"/>
    <w:rsid w:val="618E4F17"/>
    <w:rsid w:val="631A3B5D"/>
    <w:rsid w:val="64264155"/>
    <w:rsid w:val="67FF35A1"/>
    <w:rsid w:val="69E00902"/>
    <w:rsid w:val="6BD34BC2"/>
    <w:rsid w:val="6CE36ED1"/>
    <w:rsid w:val="6E443B55"/>
    <w:rsid w:val="714B13A0"/>
    <w:rsid w:val="741C69DA"/>
    <w:rsid w:val="76962A74"/>
    <w:rsid w:val="76A2766B"/>
    <w:rsid w:val="77112A42"/>
    <w:rsid w:val="77AE0952"/>
    <w:rsid w:val="77AE203F"/>
    <w:rsid w:val="78370287"/>
    <w:rsid w:val="7B0501C8"/>
    <w:rsid w:val="7CFE75C5"/>
    <w:rsid w:val="7D1F3732"/>
    <w:rsid w:val="7E490D14"/>
    <w:rsid w:val="7FAF1E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1537</Words>
  <Characters>1658</Characters>
  <Lines>0</Lines>
  <Paragraphs>0</Paragraphs>
  <TotalTime>0</TotalTime>
  <ScaleCrop>false</ScaleCrop>
  <LinksUpToDate>false</LinksUpToDate>
  <CharactersWithSpaces>1730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2025-08-21T09:28:00Z</dcterms:created>
  <dc:creator>18442</dc:creator>
  <cp:lastModifiedBy>nancy杨茜</cp:lastModifiedBy>
  <dcterms:modified xsi:type="dcterms:W3CDTF">2026-01-07T12:21:28Z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2025-08-21T14:29:57Z</vt:filetime>
  </property>
  <property fmtid="{D5CDD505-2E9C-101B-9397-08002B2CF9AE}" pid="3" name="CRO">
    <vt:lpwstr>wqlLaW5nc29mdCBQREYgdG8gV1BTIDExNQ</vt:lpwstr>
  </property>
  <property fmtid="{D5CDD505-2E9C-101B-9397-08002B2CF9AE}" pid="4" name="ICV">
    <vt:lpwstr>03FC1D43EDCA4F5BBA17BEC7C57D6B1F_12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eyJoZGlkIjoiYzZkNzQ4ZWFiZmQ4NTRhOWRkZTk3YTMwMjlmMmZhYmUiLCJ1c2VySWQiOiI0Mzg5MjI4MjYifQ==</vt:lpwstr>
  </property>
</Properties>
</file>