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F17993">
      <w:pPr>
        <w:pStyle w:val="26"/>
        <w:bidi w:val="0"/>
        <w:rPr>
          <w:rFonts w:hint="eastAsia"/>
        </w:rPr>
      </w:pPr>
      <w:bookmarkStart w:id="0" w:name="_Toc10367"/>
    </w:p>
    <w:p w14:paraId="188E0409">
      <w:pPr>
        <w:pStyle w:val="26"/>
        <w:bidi w:val="0"/>
        <w:rPr>
          <w:rFonts w:hint="eastAsia" w:eastAsia="宋体"/>
          <w:lang w:eastAsia="zh-CN"/>
        </w:rPr>
      </w:pPr>
      <w:r>
        <w:rPr>
          <w:rFonts w:hint="eastAsia"/>
        </w:rPr>
        <w:t>临夏回族自治州中医医院“智慧银医”项目</w:t>
      </w:r>
      <w:r>
        <w:t>可用性</w:t>
      </w:r>
      <w:r>
        <w:rPr>
          <w:rFonts w:hint="eastAsia"/>
          <w:lang w:val="en-US" w:eastAsia="zh-CN"/>
        </w:rPr>
        <w:t>报告</w:t>
      </w:r>
      <w:bookmarkEnd w:id="0"/>
    </w:p>
    <w:p w14:paraId="786C1A2F">
      <w:pPr>
        <w:pStyle w:val="27"/>
        <w:bidi w:val="0"/>
      </w:pPr>
      <w:bookmarkStart w:id="1" w:name="_Toc12162"/>
      <w:r>
        <w:t>甘肃国邦信息科技有限公司</w:t>
      </w:r>
      <w:bookmarkEnd w:id="1"/>
    </w:p>
    <w:p w14:paraId="6DE319B3">
      <w:pPr>
        <w:spacing w:before="117" w:line="219" w:lineRule="auto"/>
        <w:jc w:val="center"/>
        <w:rPr>
          <w:rFonts w:hint="default" w:ascii="宋体" w:hAnsi="宋体" w:eastAsia="宋体" w:cs="宋体"/>
          <w:sz w:val="36"/>
          <w:szCs w:val="36"/>
          <w:lang w:val="en-US" w:eastAsia="zh-CN"/>
        </w:rPr>
      </w:pPr>
      <w:r>
        <w:rPr>
          <w:rFonts w:ascii="宋体" w:hAnsi="宋体" w:eastAsia="宋体" w:cs="宋体"/>
          <w:spacing w:val="-2"/>
          <w:sz w:val="36"/>
          <w:szCs w:val="36"/>
        </w:rPr>
        <w:t>202</w:t>
      </w:r>
      <w:r>
        <w:rPr>
          <w:rFonts w:hint="eastAsia" w:ascii="宋体" w:hAnsi="宋体" w:cs="宋体"/>
          <w:spacing w:val="-2"/>
          <w:sz w:val="36"/>
          <w:szCs w:val="36"/>
          <w:lang w:val="en-US" w:eastAsia="zh-CN"/>
        </w:rPr>
        <w:t>5</w:t>
      </w:r>
      <w:r>
        <w:rPr>
          <w:rFonts w:ascii="宋体" w:hAnsi="宋体" w:eastAsia="宋体" w:cs="宋体"/>
          <w:spacing w:val="-2"/>
          <w:sz w:val="36"/>
          <w:szCs w:val="36"/>
        </w:rPr>
        <w:t>-</w:t>
      </w:r>
      <w:r>
        <w:rPr>
          <w:rFonts w:hint="eastAsia" w:ascii="宋体" w:hAnsi="宋体" w:cs="宋体"/>
          <w:spacing w:val="-2"/>
          <w:sz w:val="36"/>
          <w:szCs w:val="36"/>
          <w:lang w:val="en-US" w:eastAsia="zh-CN"/>
        </w:rPr>
        <w:t>10</w:t>
      </w:r>
      <w:r>
        <w:rPr>
          <w:rFonts w:ascii="宋体" w:hAnsi="宋体" w:eastAsia="宋体" w:cs="宋体"/>
          <w:spacing w:val="-2"/>
          <w:sz w:val="36"/>
          <w:szCs w:val="36"/>
        </w:rPr>
        <w:t>-</w:t>
      </w:r>
      <w:r>
        <w:rPr>
          <w:rFonts w:hint="eastAsia" w:ascii="宋体" w:hAnsi="宋体" w:cs="宋体"/>
          <w:spacing w:val="-2"/>
          <w:sz w:val="36"/>
          <w:szCs w:val="36"/>
          <w:lang w:val="en-US" w:eastAsia="zh-CN"/>
        </w:rPr>
        <w:t>20</w:t>
      </w:r>
    </w:p>
    <w:p w14:paraId="6C7CFB59">
      <w:r>
        <w:br w:type="page"/>
      </w:r>
    </w:p>
    <w:p w14:paraId="7DEDE57F">
      <w:pPr>
        <w:spacing w:before="69" w:line="220" w:lineRule="auto"/>
        <w:ind w:left="3954"/>
        <w:outlineLvl w:val="0"/>
        <w:rPr>
          <w:rFonts w:ascii="宋体" w:hAnsi="宋体" w:eastAsia="宋体" w:cs="宋体"/>
          <w:sz w:val="21"/>
          <w:szCs w:val="21"/>
        </w:rPr>
      </w:pPr>
      <w:bookmarkStart w:id="2" w:name="_Toc15427"/>
      <w:r>
        <w:rPr>
          <w:rFonts w:ascii="宋体" w:hAnsi="宋体" w:eastAsia="宋体" w:cs="宋体"/>
          <w:spacing w:val="-2"/>
          <w:sz w:val="21"/>
          <w:szCs w:val="21"/>
        </w:rPr>
        <w:t>文档信息</w:t>
      </w:r>
      <w:bookmarkEnd w:id="2"/>
    </w:p>
    <w:p w14:paraId="36409747">
      <w:pPr>
        <w:spacing w:line="16" w:lineRule="exact"/>
      </w:pPr>
    </w:p>
    <w:tbl>
      <w:tblPr>
        <w:tblStyle w:val="24"/>
        <w:tblW w:w="9071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555"/>
        <w:gridCol w:w="2302"/>
        <w:gridCol w:w="1557"/>
        <w:gridCol w:w="1953"/>
      </w:tblGrid>
      <w:tr w14:paraId="204FE0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704" w:type="dxa"/>
          </w:tcPr>
          <w:p w14:paraId="64A68E17">
            <w:pPr>
              <w:pStyle w:val="25"/>
              <w:spacing w:before="199" w:line="220" w:lineRule="auto"/>
              <w:ind w:left="225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367" w:type="dxa"/>
            <w:gridSpan w:val="4"/>
          </w:tcPr>
          <w:p w14:paraId="64EABAF2">
            <w:pPr>
              <w:pStyle w:val="25"/>
              <w:spacing w:before="200" w:line="218" w:lineRule="auto"/>
              <w:ind w:left="108"/>
            </w:pPr>
            <w:r>
              <w:rPr>
                <w:rFonts w:hint="eastAsia" w:eastAsia="宋体"/>
                <w:spacing w:val="-1"/>
                <w:lang w:val="en-US" w:eastAsia="zh-CN"/>
              </w:rPr>
              <w:t>可用性</w:t>
            </w:r>
            <w:r>
              <w:rPr>
                <w:rFonts w:hint="eastAsia"/>
                <w:spacing w:val="-1"/>
                <w:lang w:val="en-US" w:eastAsia="zh-CN"/>
              </w:rPr>
              <w:t>报告</w:t>
            </w:r>
            <w:r>
              <w:rPr>
                <w:spacing w:val="-1"/>
              </w:rPr>
              <w:t>（GSGB-ITSS-</w:t>
            </w:r>
            <w:r>
              <w:rPr>
                <w:rFonts w:hint="eastAsia" w:eastAsia="宋体"/>
                <w:spacing w:val="-1"/>
                <w:lang w:val="en-US" w:eastAsia="zh-CN"/>
              </w:rPr>
              <w:t>KYX</w:t>
            </w:r>
            <w:r>
              <w:rPr>
                <w:rFonts w:hint="eastAsia"/>
                <w:spacing w:val="-1"/>
                <w:lang w:val="en-US" w:eastAsia="zh-CN"/>
              </w:rPr>
              <w:t>BG</w:t>
            </w:r>
            <w:r>
              <w:rPr>
                <w:spacing w:val="-1"/>
              </w:rPr>
              <w:t>）</w:t>
            </w:r>
          </w:p>
        </w:tc>
      </w:tr>
      <w:tr w14:paraId="4722EF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04" w:type="dxa"/>
          </w:tcPr>
          <w:p w14:paraId="66A19658">
            <w:pPr>
              <w:pStyle w:val="25"/>
              <w:spacing w:before="196" w:line="220" w:lineRule="auto"/>
              <w:ind w:left="435"/>
            </w:pPr>
            <w:r>
              <w:rPr>
                <w:spacing w:val="-2"/>
              </w:rPr>
              <w:t>编制单位</w:t>
            </w:r>
          </w:p>
        </w:tc>
        <w:tc>
          <w:tcPr>
            <w:tcW w:w="7367" w:type="dxa"/>
            <w:gridSpan w:val="4"/>
          </w:tcPr>
          <w:p w14:paraId="76C6AD81">
            <w:pPr>
              <w:pStyle w:val="25"/>
              <w:spacing w:before="197" w:line="219" w:lineRule="auto"/>
              <w:ind w:left="108"/>
            </w:pPr>
            <w:r>
              <w:rPr>
                <w:spacing w:val="-1"/>
              </w:rPr>
              <w:t>甘肃国邦信息科技有限公司</w:t>
            </w:r>
          </w:p>
        </w:tc>
      </w:tr>
      <w:tr w14:paraId="5AE06E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704" w:type="dxa"/>
          </w:tcPr>
          <w:p w14:paraId="68E0D088">
            <w:pPr>
              <w:pStyle w:val="25"/>
              <w:spacing w:before="199" w:line="219" w:lineRule="auto"/>
              <w:ind w:left="435"/>
            </w:pPr>
            <w:r>
              <w:rPr>
                <w:spacing w:val="-2"/>
              </w:rPr>
              <w:t>文档版本</w:t>
            </w:r>
          </w:p>
        </w:tc>
        <w:tc>
          <w:tcPr>
            <w:tcW w:w="1555" w:type="dxa"/>
          </w:tcPr>
          <w:p w14:paraId="4982727C">
            <w:pPr>
              <w:pStyle w:val="25"/>
              <w:spacing w:before="199" w:line="219" w:lineRule="auto"/>
              <w:ind w:left="359"/>
            </w:pPr>
            <w:r>
              <w:rPr>
                <w:spacing w:val="-2"/>
              </w:rPr>
              <w:t>版本日期</w:t>
            </w:r>
          </w:p>
        </w:tc>
        <w:tc>
          <w:tcPr>
            <w:tcW w:w="2302" w:type="dxa"/>
          </w:tcPr>
          <w:p w14:paraId="0756ED21">
            <w:pPr>
              <w:pStyle w:val="25"/>
              <w:spacing w:before="199" w:line="219" w:lineRule="auto"/>
              <w:ind w:left="735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 w14:paraId="6346F2C8">
            <w:pPr>
              <w:pStyle w:val="25"/>
              <w:spacing w:before="199" w:line="220" w:lineRule="auto"/>
              <w:ind w:left="575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 w14:paraId="619BBFBD">
            <w:pPr>
              <w:pStyle w:val="25"/>
              <w:spacing w:before="199" w:line="220" w:lineRule="auto"/>
              <w:ind w:left="782"/>
            </w:pPr>
            <w:r>
              <w:rPr>
                <w:spacing w:val="-5"/>
              </w:rPr>
              <w:t>审核</w:t>
            </w:r>
          </w:p>
        </w:tc>
      </w:tr>
      <w:tr w14:paraId="7F864C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5EA5FDFB">
            <w:pPr>
              <w:pStyle w:val="25"/>
              <w:spacing w:before="163" w:line="239" w:lineRule="auto"/>
              <w:ind w:left="638"/>
            </w:pPr>
            <w:r>
              <w:rPr>
                <w:spacing w:val="-1"/>
              </w:rPr>
              <w:t>V1.0</w:t>
            </w:r>
          </w:p>
        </w:tc>
        <w:tc>
          <w:tcPr>
            <w:tcW w:w="1555" w:type="dxa"/>
          </w:tcPr>
          <w:p w14:paraId="7B51811F">
            <w:pPr>
              <w:pStyle w:val="25"/>
              <w:spacing w:before="163"/>
              <w:ind w:left="361"/>
              <w:rPr>
                <w:rFonts w:hint="default" w:eastAsia="宋体"/>
                <w:lang w:val="en-US" w:eastAsia="zh-CN"/>
              </w:rPr>
            </w:pPr>
            <w:r>
              <w:rPr>
                <w:spacing w:val="-2"/>
              </w:rPr>
              <w:t>20</w:t>
            </w:r>
            <w:r>
              <w:rPr>
                <w:rFonts w:hint="eastAsia" w:eastAsia="宋体"/>
                <w:spacing w:val="-2"/>
                <w:lang w:val="en-US" w:eastAsia="zh-CN"/>
              </w:rPr>
              <w:t>25</w:t>
            </w:r>
            <w:r>
              <w:rPr>
                <w:spacing w:val="-2"/>
              </w:rPr>
              <w:t>-1</w:t>
            </w:r>
            <w:r>
              <w:rPr>
                <w:rFonts w:hint="eastAsia"/>
                <w:spacing w:val="-2"/>
                <w:lang w:val="en-US" w:eastAsia="zh-CN"/>
              </w:rPr>
              <w:t>0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20</w:t>
            </w:r>
          </w:p>
        </w:tc>
        <w:tc>
          <w:tcPr>
            <w:tcW w:w="2302" w:type="dxa"/>
          </w:tcPr>
          <w:p w14:paraId="7E91D167">
            <w:pPr>
              <w:pStyle w:val="25"/>
              <w:spacing w:before="133" w:line="219" w:lineRule="auto"/>
              <w:ind w:left="738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 w14:paraId="74D573C1">
            <w:pPr>
              <w:pStyle w:val="25"/>
              <w:spacing w:before="134" w:line="220" w:lineRule="auto"/>
              <w:ind w:left="48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胡葛鹏宇</w:t>
            </w:r>
          </w:p>
        </w:tc>
        <w:tc>
          <w:tcPr>
            <w:tcW w:w="1953" w:type="dxa"/>
          </w:tcPr>
          <w:p w14:paraId="57B10CF4">
            <w:pPr>
              <w:pStyle w:val="25"/>
              <w:spacing w:before="133" w:line="220" w:lineRule="auto"/>
              <w:ind w:left="672"/>
            </w:pPr>
            <w:r>
              <w:rPr>
                <w:spacing w:val="-3"/>
              </w:rPr>
              <w:t>黄益溪</w:t>
            </w:r>
          </w:p>
        </w:tc>
      </w:tr>
      <w:tr w14:paraId="2D2EBF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16AD4970">
            <w:pPr>
              <w:pStyle w:val="25"/>
              <w:spacing w:before="164" w:line="239" w:lineRule="auto"/>
              <w:ind w:left="638"/>
            </w:pPr>
          </w:p>
        </w:tc>
        <w:tc>
          <w:tcPr>
            <w:tcW w:w="1555" w:type="dxa"/>
          </w:tcPr>
          <w:p w14:paraId="303D3188">
            <w:pPr>
              <w:pStyle w:val="25"/>
              <w:spacing w:before="164"/>
              <w:ind w:left="361"/>
            </w:pPr>
          </w:p>
        </w:tc>
        <w:tc>
          <w:tcPr>
            <w:tcW w:w="2302" w:type="dxa"/>
          </w:tcPr>
          <w:p w14:paraId="25CF3833">
            <w:pPr>
              <w:pStyle w:val="25"/>
              <w:spacing w:before="134" w:line="219" w:lineRule="auto"/>
              <w:ind w:left="737"/>
            </w:pPr>
          </w:p>
        </w:tc>
        <w:tc>
          <w:tcPr>
            <w:tcW w:w="1557" w:type="dxa"/>
          </w:tcPr>
          <w:p w14:paraId="23D7D27D">
            <w:pPr>
              <w:pStyle w:val="25"/>
              <w:spacing w:before="135" w:line="220" w:lineRule="auto"/>
              <w:ind w:left="480"/>
            </w:pPr>
          </w:p>
        </w:tc>
        <w:tc>
          <w:tcPr>
            <w:tcW w:w="1953" w:type="dxa"/>
          </w:tcPr>
          <w:p w14:paraId="2361D238">
            <w:pPr>
              <w:pStyle w:val="25"/>
              <w:spacing w:before="134" w:line="220" w:lineRule="auto"/>
              <w:ind w:left="672"/>
            </w:pPr>
          </w:p>
        </w:tc>
      </w:tr>
      <w:tr w14:paraId="2C1CB9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081F6417">
            <w:pPr>
              <w:pStyle w:val="25"/>
              <w:spacing w:before="165" w:line="239" w:lineRule="auto"/>
              <w:ind w:left="638"/>
            </w:pPr>
          </w:p>
        </w:tc>
        <w:tc>
          <w:tcPr>
            <w:tcW w:w="1555" w:type="dxa"/>
          </w:tcPr>
          <w:p w14:paraId="700D4AD8">
            <w:pPr>
              <w:pStyle w:val="25"/>
              <w:spacing w:before="165"/>
              <w:ind w:left="361"/>
            </w:pPr>
          </w:p>
        </w:tc>
        <w:tc>
          <w:tcPr>
            <w:tcW w:w="2302" w:type="dxa"/>
          </w:tcPr>
          <w:p w14:paraId="36C47C98">
            <w:pPr>
              <w:pStyle w:val="25"/>
              <w:spacing w:before="135" w:line="219" w:lineRule="auto"/>
              <w:ind w:left="737"/>
            </w:pPr>
          </w:p>
        </w:tc>
        <w:tc>
          <w:tcPr>
            <w:tcW w:w="1557" w:type="dxa"/>
          </w:tcPr>
          <w:p w14:paraId="2DD61249">
            <w:pPr>
              <w:pStyle w:val="25"/>
              <w:spacing w:before="136" w:line="220" w:lineRule="auto"/>
              <w:ind w:left="480"/>
            </w:pPr>
          </w:p>
        </w:tc>
        <w:tc>
          <w:tcPr>
            <w:tcW w:w="1953" w:type="dxa"/>
          </w:tcPr>
          <w:p w14:paraId="22E8FE6D">
            <w:pPr>
              <w:pStyle w:val="25"/>
              <w:spacing w:before="135" w:line="220" w:lineRule="auto"/>
              <w:ind w:left="672"/>
            </w:pPr>
          </w:p>
        </w:tc>
      </w:tr>
      <w:tr w14:paraId="3C288F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1E6FC3CE">
            <w:pPr>
              <w:pStyle w:val="25"/>
              <w:spacing w:before="166" w:line="239" w:lineRule="auto"/>
              <w:ind w:left="638"/>
            </w:pPr>
          </w:p>
        </w:tc>
        <w:tc>
          <w:tcPr>
            <w:tcW w:w="1555" w:type="dxa"/>
          </w:tcPr>
          <w:p w14:paraId="2BA2FA3D">
            <w:pPr>
              <w:pStyle w:val="25"/>
              <w:spacing w:before="166"/>
              <w:ind w:left="361"/>
            </w:pPr>
          </w:p>
        </w:tc>
        <w:tc>
          <w:tcPr>
            <w:tcW w:w="2302" w:type="dxa"/>
          </w:tcPr>
          <w:p w14:paraId="4DFCBE8C">
            <w:pPr>
              <w:pStyle w:val="25"/>
              <w:spacing w:before="136" w:line="219" w:lineRule="auto"/>
              <w:ind w:left="737"/>
            </w:pPr>
          </w:p>
        </w:tc>
        <w:tc>
          <w:tcPr>
            <w:tcW w:w="1557" w:type="dxa"/>
          </w:tcPr>
          <w:p w14:paraId="71028237">
            <w:pPr>
              <w:pStyle w:val="25"/>
              <w:spacing w:before="137" w:line="220" w:lineRule="auto"/>
              <w:ind w:left="480"/>
            </w:pPr>
          </w:p>
        </w:tc>
        <w:tc>
          <w:tcPr>
            <w:tcW w:w="1953" w:type="dxa"/>
          </w:tcPr>
          <w:p w14:paraId="692554B7">
            <w:pPr>
              <w:pStyle w:val="25"/>
              <w:spacing w:before="136" w:line="220" w:lineRule="auto"/>
              <w:ind w:left="672"/>
            </w:pPr>
          </w:p>
        </w:tc>
      </w:tr>
      <w:tr w14:paraId="06349C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704" w:type="dxa"/>
          </w:tcPr>
          <w:p w14:paraId="4C490FC6">
            <w:pPr>
              <w:rPr>
                <w:rFonts w:ascii="Arial"/>
                <w:sz w:val="21"/>
              </w:rPr>
            </w:pPr>
          </w:p>
        </w:tc>
        <w:tc>
          <w:tcPr>
            <w:tcW w:w="1555" w:type="dxa"/>
          </w:tcPr>
          <w:p w14:paraId="1CD842F5">
            <w:pPr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01230654">
            <w:pPr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2A212D28">
            <w:pPr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634ACA1F">
            <w:pPr>
              <w:rPr>
                <w:rFonts w:ascii="Arial"/>
                <w:sz w:val="21"/>
              </w:rPr>
            </w:pPr>
          </w:p>
        </w:tc>
      </w:tr>
    </w:tbl>
    <w:p w14:paraId="29122B61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3573"/>
        <w15:color w:val="DBDBDB"/>
        <w:docPartObj>
          <w:docPartGallery w:val="Table of Contents"/>
          <w:docPartUnique/>
        </w:docPartObj>
      </w:sdtPr>
      <w:sdtEndPr>
        <w:rPr>
          <w:rFonts w:ascii="Arial" w:hAnsi="Arial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15A3344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E84CF36">
          <w:pPr>
            <w:pStyle w:val="16"/>
            <w:tabs>
              <w:tab w:val="right" w:leader="dot" w:pos="9743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_Toc10367 </w:instrText>
          </w:r>
          <w:r>
            <w:fldChar w:fldCharType="separate"/>
          </w:r>
          <w:r>
            <w:rPr>
              <w:rFonts w:hint="eastAsia"/>
            </w:rPr>
            <w:t>临夏回族自治州中医医院“智慧银医”项目</w:t>
          </w:r>
          <w:r>
            <w:t>可用性</w:t>
          </w:r>
          <w:r>
            <w:rPr>
              <w:rFonts w:hint="eastAsia"/>
              <w:lang w:val="en-US" w:eastAsia="zh-CN"/>
            </w:rPr>
            <w:t>报告</w:t>
          </w:r>
          <w:r>
            <w:tab/>
          </w:r>
          <w:r>
            <w:fldChar w:fldCharType="begin"/>
          </w:r>
          <w:r>
            <w:instrText xml:space="preserve"> PAGEREF _Toc10367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9FAE4DE">
          <w:pPr>
            <w:pStyle w:val="16"/>
            <w:tabs>
              <w:tab w:val="right" w:leader="dot" w:pos="9743"/>
            </w:tabs>
          </w:pPr>
          <w:r>
            <w:fldChar w:fldCharType="begin"/>
          </w:r>
          <w:r>
            <w:instrText xml:space="preserve"> HYPERLINK \l _Toc12162 </w:instrText>
          </w:r>
          <w:r>
            <w:fldChar w:fldCharType="separate"/>
          </w:r>
          <w:r>
            <w:t>甘肃国邦信息科技有限公司</w:t>
          </w:r>
          <w:r>
            <w:tab/>
          </w:r>
          <w:r>
            <w:fldChar w:fldCharType="begin"/>
          </w:r>
          <w:r>
            <w:instrText xml:space="preserve"> PAGEREF _Toc12162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ED353AC">
          <w:pPr>
            <w:pStyle w:val="16"/>
            <w:tabs>
              <w:tab w:val="right" w:leader="dot" w:pos="9743"/>
            </w:tabs>
          </w:pPr>
          <w:r>
            <w:fldChar w:fldCharType="begin"/>
          </w:r>
          <w:r>
            <w:instrText xml:space="preserve"> HYPERLINK \l _Toc15427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Cs w:val="21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_Toc15427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5613BC6">
          <w:pPr>
            <w:pStyle w:val="16"/>
            <w:tabs>
              <w:tab w:val="right" w:leader="dot" w:pos="9743"/>
            </w:tabs>
          </w:pPr>
          <w:r>
            <w:fldChar w:fldCharType="begin"/>
          </w:r>
          <w:r>
            <w:instrText xml:space="preserve"> HYPERLINK \l _Toc32722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</w:rPr>
            <w:t>可用性目标达成情况</w:t>
          </w:r>
          <w:r>
            <w:tab/>
          </w:r>
          <w:r>
            <w:fldChar w:fldCharType="begin"/>
          </w:r>
          <w:r>
            <w:instrText xml:space="preserve"> PAGEREF _Toc32722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07D0BCC">
          <w:pPr>
            <w:pStyle w:val="16"/>
            <w:tabs>
              <w:tab w:val="right" w:leader="dot" w:pos="9743"/>
            </w:tabs>
          </w:pPr>
          <w:r>
            <w:fldChar w:fldCharType="begin"/>
          </w:r>
          <w:r>
            <w:instrText xml:space="preserve"> HYPERLINK \l _Toc18977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</w:rPr>
            <w:t>关键运维活动与持续优化</w:t>
          </w:r>
          <w:r>
            <w:tab/>
          </w:r>
          <w:r>
            <w:fldChar w:fldCharType="begin"/>
          </w:r>
          <w:r>
            <w:instrText xml:space="preserve"> PAGEREF _Toc18977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DAB0975">
          <w:pPr>
            <w:pStyle w:val="17"/>
            <w:tabs>
              <w:tab w:val="right" w:leader="dot" w:pos="9743"/>
            </w:tabs>
          </w:pPr>
          <w:r>
            <w:fldChar w:fldCharType="begin"/>
          </w:r>
          <w:r>
            <w:instrText xml:space="preserve"> HYPERLINK \l _Toc29939 </w:instrText>
          </w:r>
          <w:r>
            <w:fldChar w:fldCharType="separate"/>
          </w:r>
          <w:r>
            <w:rPr>
              <w:rFonts w:hint="default"/>
            </w:rPr>
            <w:t xml:space="preserve">2.1. </w:t>
          </w:r>
          <w:r>
            <w:rPr>
              <w:rFonts w:hint="eastAsia"/>
            </w:rPr>
            <w:t>预防性维护与系统增强</w:t>
          </w:r>
          <w:r>
            <w:tab/>
          </w:r>
          <w:r>
            <w:fldChar w:fldCharType="begin"/>
          </w:r>
          <w:r>
            <w:instrText xml:space="preserve"> PAGEREF _Toc29939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DA8A466">
          <w:pPr>
            <w:pStyle w:val="17"/>
            <w:tabs>
              <w:tab w:val="right" w:leader="dot" w:pos="9743"/>
            </w:tabs>
          </w:pPr>
          <w:r>
            <w:fldChar w:fldCharType="begin"/>
          </w:r>
          <w:r>
            <w:instrText xml:space="preserve"> HYPERLINK \l _Toc15659 </w:instrText>
          </w:r>
          <w:r>
            <w:fldChar w:fldCharType="separate"/>
          </w:r>
          <w:r>
            <w:rPr>
              <w:rFonts w:hint="default"/>
            </w:rPr>
            <w:t xml:space="preserve">2.2. </w:t>
          </w:r>
          <w:r>
            <w:rPr>
              <w:rFonts w:hint="eastAsia"/>
            </w:rPr>
            <w:t>监控与应急能力提升</w:t>
          </w:r>
          <w:r>
            <w:tab/>
          </w:r>
          <w:r>
            <w:fldChar w:fldCharType="begin"/>
          </w:r>
          <w:r>
            <w:instrText xml:space="preserve"> PAGEREF _Toc15659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450273B">
          <w:pPr>
            <w:pStyle w:val="16"/>
            <w:tabs>
              <w:tab w:val="right" w:leader="dot" w:pos="9743"/>
            </w:tabs>
          </w:pPr>
          <w:r>
            <w:fldChar w:fldCharType="begin"/>
          </w:r>
          <w:r>
            <w:instrText xml:space="preserve"> HYPERLINK \l _Toc6313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</w:rPr>
            <w:t>业务支撑成效</w:t>
          </w:r>
          <w:r>
            <w:tab/>
          </w:r>
          <w:r>
            <w:fldChar w:fldCharType="begin"/>
          </w:r>
          <w:r>
            <w:instrText xml:space="preserve"> PAGEREF _Toc6313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461D0B9">
          <w:pPr>
            <w:pStyle w:val="16"/>
            <w:tabs>
              <w:tab w:val="right" w:leader="dot" w:pos="9743"/>
            </w:tabs>
          </w:pPr>
          <w:r>
            <w:fldChar w:fldCharType="begin"/>
          </w:r>
          <w:r>
            <w:instrText xml:space="preserve"> HYPERLINK \l _Toc32556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</w:rPr>
            <w:t>改进建议与2026年重点计划</w:t>
          </w:r>
          <w:r>
            <w:tab/>
          </w:r>
          <w:r>
            <w:fldChar w:fldCharType="begin"/>
          </w:r>
          <w:r>
            <w:instrText xml:space="preserve"> PAGEREF _Toc32556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C817989">
          <w:pPr>
            <w:pStyle w:val="16"/>
            <w:tabs>
              <w:tab w:val="right" w:leader="dot" w:pos="9743"/>
            </w:tabs>
          </w:pPr>
          <w:r>
            <w:fldChar w:fldCharType="begin"/>
          </w:r>
          <w:r>
            <w:instrText xml:space="preserve"> HYPERLINK \l _Toc24671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rPr>
              <w:rFonts w:hint="eastAsia"/>
            </w:rPr>
            <w:t>结论</w:t>
          </w:r>
          <w:r>
            <w:tab/>
          </w:r>
          <w:r>
            <w:fldChar w:fldCharType="begin"/>
          </w:r>
          <w:r>
            <w:instrText xml:space="preserve"> PAGEREF _Toc24671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44A3AF8">
          <w:r>
            <w:fldChar w:fldCharType="end"/>
          </w:r>
        </w:p>
      </w:sdtContent>
    </w:sdt>
    <w:p w14:paraId="4F14BEB9">
      <w:r>
        <w:rPr>
          <w:rFonts w:ascii="Arial" w:hAnsi="Arial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49EC1D84">
      <w:pPr>
        <w:pStyle w:val="28"/>
        <w:bidi w:val="0"/>
        <w:rPr>
          <w:rFonts w:hint="eastAsia"/>
        </w:rPr>
      </w:pPr>
      <w:bookmarkStart w:id="3" w:name="_Toc32722"/>
      <w:r>
        <w:rPr>
          <w:rFonts w:hint="eastAsia"/>
        </w:rPr>
        <w:t>可用性目标达成情况</w:t>
      </w:r>
      <w:bookmarkEnd w:id="3"/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0"/>
        <w:gridCol w:w="894"/>
        <w:gridCol w:w="1662"/>
        <w:gridCol w:w="1392"/>
        <w:gridCol w:w="4696"/>
      </w:tblGrid>
      <w:tr w14:paraId="5E22C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00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CC2C8A6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指标项</w:t>
            </w:r>
          </w:p>
        </w:tc>
        <w:tc>
          <w:tcPr>
            <w:tcW w:w="89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85B4A1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年度目标</w:t>
            </w:r>
          </w:p>
        </w:tc>
        <w:tc>
          <w:tcPr>
            <w:tcW w:w="166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08E50D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实际达成</w:t>
            </w:r>
          </w:p>
        </w:tc>
        <w:tc>
          <w:tcPr>
            <w:tcW w:w="139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50561E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达成情况</w:t>
            </w:r>
          </w:p>
        </w:tc>
        <w:tc>
          <w:tcPr>
            <w:tcW w:w="469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A0E96B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说明与关键举措</w:t>
            </w:r>
          </w:p>
        </w:tc>
      </w:tr>
      <w:tr w14:paraId="7E5C8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00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EDAA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系统可用性</w:t>
            </w:r>
          </w:p>
        </w:tc>
        <w:tc>
          <w:tcPr>
            <w:tcW w:w="89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DA77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≥99%</w:t>
            </w:r>
          </w:p>
        </w:tc>
        <w:tc>
          <w:tcPr>
            <w:tcW w:w="166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12B8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99.73%</w:t>
            </w:r>
          </w:p>
        </w:tc>
        <w:tc>
          <w:tcPr>
            <w:tcW w:w="139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881C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✅ 超额达成</w:t>
            </w:r>
          </w:p>
        </w:tc>
        <w:tc>
          <w:tcPr>
            <w:tcW w:w="4696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D5D5C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通过精细化监控、预防性维护与快速响应机制，将计划外服务不可用时间降至最低，全年累计约23.5小时，远低于行业同类系统水平。</w:t>
            </w:r>
          </w:p>
        </w:tc>
      </w:tr>
      <w:tr w14:paraId="7D5D4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00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606E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计划内停机</w:t>
            </w:r>
          </w:p>
        </w:tc>
        <w:tc>
          <w:tcPr>
            <w:tcW w:w="89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A8B0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≤12小时/次</w:t>
            </w:r>
          </w:p>
        </w:tc>
        <w:tc>
          <w:tcPr>
            <w:tcW w:w="166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BB86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平均3.2小时/次</w:t>
            </w:r>
          </w:p>
        </w:tc>
        <w:tc>
          <w:tcPr>
            <w:tcW w:w="139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B02A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✅ 超额达成</w:t>
            </w:r>
          </w:p>
        </w:tc>
        <w:tc>
          <w:tcPr>
            <w:tcW w:w="4696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083FB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严格执行变更管理流程，4次计划升级维护均安排在夜间业务低谷期（22:00-04:00）并提前公告，对日间业务零影响。</w:t>
            </w:r>
          </w:p>
        </w:tc>
      </w:tr>
      <w:tr w14:paraId="2A0FB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00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AE27F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非计划中断次数</w:t>
            </w:r>
          </w:p>
        </w:tc>
        <w:tc>
          <w:tcPr>
            <w:tcW w:w="89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F8F9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≤2次/季度</w:t>
            </w:r>
          </w:p>
        </w:tc>
        <w:tc>
          <w:tcPr>
            <w:tcW w:w="166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84A6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3次（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截止2025年10月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）</w:t>
            </w:r>
          </w:p>
        </w:tc>
        <w:tc>
          <w:tcPr>
            <w:tcW w:w="139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C06C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✅ 达成</w:t>
            </w:r>
          </w:p>
        </w:tc>
        <w:tc>
          <w:tcPr>
            <w:tcW w:w="4696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2611E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得益于稳健的架构设计与主动防御策略，全年仅发生3次局部、短暂的服务波动，均未升级为系统性故障，并得到快速处置。</w:t>
            </w:r>
          </w:p>
        </w:tc>
      </w:tr>
      <w:tr w14:paraId="3F05E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00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E53F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故障平均响应时间</w:t>
            </w:r>
          </w:p>
        </w:tc>
        <w:tc>
          <w:tcPr>
            <w:tcW w:w="89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F3FA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≤ 4小时</w:t>
            </w:r>
          </w:p>
        </w:tc>
        <w:tc>
          <w:tcPr>
            <w:tcW w:w="166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198D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18分钟</w:t>
            </w:r>
          </w:p>
        </w:tc>
        <w:tc>
          <w:tcPr>
            <w:tcW w:w="139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86B2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✅ 超额达成</w:t>
            </w:r>
          </w:p>
        </w:tc>
        <w:tc>
          <w:tcPr>
            <w:tcW w:w="4696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D1DF4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7×24小时智能监控平台与自动化告警系统高效运行，确保运维团队能在第一时间发现并介入处理潜在问题。</w:t>
            </w:r>
          </w:p>
        </w:tc>
      </w:tr>
      <w:tr w14:paraId="00197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00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9614E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故障平均恢复时间</w:t>
            </w:r>
          </w:p>
        </w:tc>
        <w:tc>
          <w:tcPr>
            <w:tcW w:w="89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0777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≤ 24小时</w:t>
            </w:r>
          </w:p>
        </w:tc>
        <w:tc>
          <w:tcPr>
            <w:tcW w:w="166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71BA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2.3小时（核心业务）</w:t>
            </w:r>
          </w:p>
        </w:tc>
        <w:tc>
          <w:tcPr>
            <w:tcW w:w="139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13C9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✅ 超额达成</w:t>
            </w:r>
          </w:p>
        </w:tc>
        <w:tc>
          <w:tcPr>
            <w:tcW w:w="4696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F39C1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完善的应急预案与熟练的运维操作，确保了在偶发异常情况下能快速定位并恢复服务，最大程度缩短了业务影响时长。</w:t>
            </w:r>
          </w:p>
        </w:tc>
      </w:tr>
    </w:tbl>
    <w:p w14:paraId="7CDBC279">
      <w:pPr>
        <w:pStyle w:val="28"/>
        <w:bidi w:val="0"/>
        <w:rPr>
          <w:rFonts w:hint="eastAsia"/>
        </w:rPr>
      </w:pPr>
      <w:bookmarkStart w:id="4" w:name="_Toc18977"/>
      <w:r>
        <w:rPr>
          <w:rFonts w:hint="eastAsia"/>
        </w:rPr>
        <w:t>关键运维活动与持续优化</w:t>
      </w:r>
      <w:bookmarkEnd w:id="4"/>
    </w:p>
    <w:p w14:paraId="7519037A">
      <w:pPr>
        <w:pStyle w:val="30"/>
        <w:bidi w:val="0"/>
        <w:rPr>
          <w:rFonts w:hint="eastAsia"/>
        </w:rPr>
      </w:pPr>
      <w:bookmarkStart w:id="5" w:name="_Toc29939"/>
      <w:r>
        <w:rPr>
          <w:rFonts w:hint="eastAsia"/>
        </w:rPr>
        <w:t>预防性维护与系统增强</w:t>
      </w:r>
      <w:bookmarkEnd w:id="5"/>
    </w:p>
    <w:p w14:paraId="7A7B6098">
      <w:pPr>
        <w:pStyle w:val="39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  <w:lang w:val="en-US" w:eastAsia="zh-CN"/>
        </w:rPr>
        <w:t>截止2025年10月</w:t>
      </w:r>
      <w:r>
        <w:rPr>
          <w:rFonts w:hint="eastAsia"/>
        </w:rPr>
        <w:t>计划成功执行了预定的维护窗口，核心工作包括：</w:t>
      </w:r>
    </w:p>
    <w:p w14:paraId="4EF2E853">
      <w:pPr>
        <w:pStyle w:val="39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安全加固： 按时完成所有高危安全补丁的部署，系统全年无安全漏洞相关事件。</w:t>
      </w:r>
    </w:p>
    <w:p w14:paraId="57F0B792">
      <w:pPr>
        <w:pStyle w:val="39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性能调优： 每季度对数据库及关键应用进行性能分析与优化，保障了在业务量增长下的系统响应速度。</w:t>
      </w:r>
    </w:p>
    <w:p w14:paraId="75D1D0AF">
      <w:pPr>
        <w:pStyle w:val="39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容量规划：根据业务增长趋势，提前完成了存储与服务器资源的扩容，避免了性能瓶颈。</w:t>
      </w:r>
    </w:p>
    <w:p w14:paraId="2E389410">
      <w:pPr>
        <w:pStyle w:val="30"/>
        <w:bidi w:val="0"/>
        <w:rPr>
          <w:rFonts w:hint="eastAsia"/>
        </w:rPr>
      </w:pPr>
      <w:bookmarkStart w:id="6" w:name="_Toc15659"/>
      <w:r>
        <w:rPr>
          <w:rFonts w:hint="eastAsia"/>
        </w:rPr>
        <w:t>监控与应急能力提升</w:t>
      </w:r>
      <w:bookmarkEnd w:id="6"/>
    </w:p>
    <w:p w14:paraId="1290D313">
      <w:pPr>
        <w:pStyle w:val="39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监控体系完善：实现了从基础设施到业务交易链路的100%监控覆盖，关键业务指标可视化看板已投入使用。</w:t>
      </w:r>
    </w:p>
    <w:p w14:paraId="71EFF0B7">
      <w:pPr>
        <w:pStyle w:val="39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应急演练成功：年中及年末两次模拟故障演练均圆满完成，验证了应急流程的有效性及团队的协同恢复能力，平均恢复时间（MTTR）较演练前缩短15%。</w:t>
      </w:r>
    </w:p>
    <w:p w14:paraId="0EB8BE85">
      <w:pPr>
        <w:pStyle w:val="39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  <w:lang w:val="en-US" w:eastAsia="zh-CN"/>
        </w:rPr>
        <w:t>服务知识</w:t>
      </w:r>
      <w:r>
        <w:rPr>
          <w:rFonts w:hint="eastAsia"/>
        </w:rPr>
        <w:t>沉淀：全年积累并归档典型运维案例17例，形成内部知识库，显著提升了团队排查与解决问题的效率。</w:t>
      </w:r>
    </w:p>
    <w:p w14:paraId="79CD8B79">
      <w:pPr>
        <w:pStyle w:val="28"/>
        <w:bidi w:val="0"/>
        <w:rPr>
          <w:rFonts w:hint="eastAsia"/>
        </w:rPr>
      </w:pPr>
      <w:bookmarkStart w:id="7" w:name="_Toc6313"/>
      <w:r>
        <w:rPr>
          <w:rFonts w:hint="eastAsia"/>
        </w:rPr>
        <w:t>业务支撑成效</w:t>
      </w:r>
      <w:bookmarkEnd w:id="7"/>
    </w:p>
    <w:p w14:paraId="76B52D6F">
      <w:pPr>
        <w:pStyle w:val="39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服务规模：自助服务终端累计受理业务超 85万笔，已成为患者办理挂号、缴费、查询等业务的首选渠道，窗口排队压力显著缓解。</w:t>
      </w:r>
    </w:p>
    <w:p w14:paraId="6BE7EA25">
      <w:pPr>
        <w:pStyle w:val="39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交易可靠性：核心支付与结算业务平均交易成功率达 99.89%，资金流处理准确无误。</w:t>
      </w:r>
    </w:p>
    <w:p w14:paraId="1E2F88BD">
      <w:pPr>
        <w:pStyle w:val="39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用户认可：系统稳定、便捷的操作体验获得了医护人员与患者的广泛好评，年度服务满意度调查得分持续提升。</w:t>
      </w:r>
    </w:p>
    <w:p w14:paraId="6403862B">
      <w:pPr>
        <w:pStyle w:val="28"/>
        <w:bidi w:val="0"/>
        <w:rPr>
          <w:rFonts w:hint="eastAsia"/>
        </w:rPr>
      </w:pPr>
      <w:bookmarkStart w:id="8" w:name="_Toc32556"/>
      <w:r>
        <w:rPr>
          <w:rFonts w:hint="eastAsia"/>
        </w:rPr>
        <w:t>改进建议与2026年重点计划</w:t>
      </w:r>
      <w:bookmarkEnd w:id="8"/>
    </w:p>
    <w:p w14:paraId="60BB0464">
      <w:pPr>
        <w:pStyle w:val="39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为持续提升系统韧性与服务品质，计划在2026年重点推进以下工作：</w:t>
      </w:r>
    </w:p>
    <w:p w14:paraId="3EA8594D">
      <w:pPr>
        <w:pStyle w:val="39"/>
        <w:numPr>
          <w:ilvl w:val="0"/>
          <w:numId w:val="3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向高可用架构演进： 探索并规划对核心支付网关等模块实施双活或集群化部署，目标将系统可用性提升至99.9%以上。</w:t>
      </w:r>
    </w:p>
    <w:p w14:paraId="1572869A">
      <w:pPr>
        <w:pStyle w:val="39"/>
        <w:numPr>
          <w:ilvl w:val="0"/>
          <w:numId w:val="3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智能化运维探索：引入AIOps理念，尝试对日志与性能数据进行智能分析，实现潜在故障的预测性告警。</w:t>
      </w:r>
    </w:p>
    <w:p w14:paraId="74A00967">
      <w:pPr>
        <w:pStyle w:val="39"/>
        <w:numPr>
          <w:ilvl w:val="0"/>
          <w:numId w:val="3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容灾能力验证：计划开展一次全业务链路的同城容灾切换演练，全面提升系统应对极端情况的能力。</w:t>
      </w:r>
      <w:bookmarkStart w:id="10" w:name="_GoBack"/>
      <w:bookmarkEnd w:id="10"/>
    </w:p>
    <w:p w14:paraId="5DBA7CEE">
      <w:pPr>
        <w:pStyle w:val="39"/>
        <w:numPr>
          <w:ilvl w:val="0"/>
          <w:numId w:val="3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服务体验优化：基于运行数据，进一步优化自助终端操作界面与交易流程，缩短单笔业务处理时间。</w:t>
      </w:r>
    </w:p>
    <w:p w14:paraId="6CD7F7AA">
      <w:pPr>
        <w:pStyle w:val="28"/>
        <w:bidi w:val="0"/>
        <w:rPr>
          <w:rFonts w:hint="eastAsia"/>
        </w:rPr>
      </w:pPr>
      <w:bookmarkStart w:id="9" w:name="_Toc24671"/>
      <w:r>
        <w:rPr>
          <w:rFonts w:hint="eastAsia"/>
        </w:rPr>
        <w:t>结论</w:t>
      </w:r>
      <w:bookmarkEnd w:id="9"/>
    </w:p>
    <w:p w14:paraId="2C1138DC">
      <w:pPr>
        <w:pStyle w:val="29"/>
        <w:bidi w:val="0"/>
      </w:pPr>
      <w:r>
        <w:rPr>
          <w:rFonts w:hint="eastAsia"/>
        </w:rPr>
        <w:t>2025年度，临夏回族自治州中医医院“智慧银医”项目以高可用、高可靠的运行状态，圆满完成了年度服务目标。系统可用性高达99.73%，远超99%的既定标准，为医院智慧服务建设提供了坚实的技术基石。展望2026年，甘肃国邦信息科技有限公司将继续秉持精益求精的态度，通过技术升级与服务优化，助力医院信息化水平再上新台阶。</w:t>
      </w:r>
    </w:p>
    <w:sectPr>
      <w:pgSz w:w="11906" w:h="16838"/>
      <w:pgMar w:top="1431" w:right="1076" w:bottom="1327" w:left="1087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E6168AC5"/>
    <w:multiLevelType w:val="singleLevel"/>
    <w:tmpl w:val="E6168AC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6C5605C3"/>
    <w:multiLevelType w:val="singleLevel"/>
    <w:tmpl w:val="6C5605C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bordersDoNotSurroundHeader w:val="0"/>
  <w:bordersDoNotSurroundFooter w:val="0"/>
  <w:doNotTrackMoves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F4690B"/>
    <w:rsid w:val="01810DB0"/>
    <w:rsid w:val="02CB1CF7"/>
    <w:rsid w:val="02E34C6C"/>
    <w:rsid w:val="03006561"/>
    <w:rsid w:val="04893C18"/>
    <w:rsid w:val="07886409"/>
    <w:rsid w:val="07DA3499"/>
    <w:rsid w:val="082B6007"/>
    <w:rsid w:val="09544EEC"/>
    <w:rsid w:val="0A3463D4"/>
    <w:rsid w:val="0AFA5870"/>
    <w:rsid w:val="0B310B66"/>
    <w:rsid w:val="0C851169"/>
    <w:rsid w:val="0D0C53E6"/>
    <w:rsid w:val="0D4A3D75"/>
    <w:rsid w:val="0D703BC7"/>
    <w:rsid w:val="0D926342"/>
    <w:rsid w:val="104B4477"/>
    <w:rsid w:val="10546985"/>
    <w:rsid w:val="13051255"/>
    <w:rsid w:val="13655850"/>
    <w:rsid w:val="1C5B3C94"/>
    <w:rsid w:val="1CF33ECD"/>
    <w:rsid w:val="20084133"/>
    <w:rsid w:val="213F4A27"/>
    <w:rsid w:val="21A25EC1"/>
    <w:rsid w:val="22521696"/>
    <w:rsid w:val="22BD24AF"/>
    <w:rsid w:val="22C012A2"/>
    <w:rsid w:val="2406098A"/>
    <w:rsid w:val="24D56C78"/>
    <w:rsid w:val="25897AC4"/>
    <w:rsid w:val="259F4BF2"/>
    <w:rsid w:val="27201D62"/>
    <w:rsid w:val="2A73587A"/>
    <w:rsid w:val="2AC62C21"/>
    <w:rsid w:val="2AD00736"/>
    <w:rsid w:val="2DE81100"/>
    <w:rsid w:val="2E982B26"/>
    <w:rsid w:val="2FFB336C"/>
    <w:rsid w:val="302F3016"/>
    <w:rsid w:val="30B5176D"/>
    <w:rsid w:val="337C6572"/>
    <w:rsid w:val="348E2A01"/>
    <w:rsid w:val="3524513E"/>
    <w:rsid w:val="35ED2F28"/>
    <w:rsid w:val="36070CBD"/>
    <w:rsid w:val="36D87F64"/>
    <w:rsid w:val="38BC4D53"/>
    <w:rsid w:val="38D702E8"/>
    <w:rsid w:val="3B131E69"/>
    <w:rsid w:val="3CA0023D"/>
    <w:rsid w:val="3D811329"/>
    <w:rsid w:val="3F521997"/>
    <w:rsid w:val="4447497A"/>
    <w:rsid w:val="449A71A0"/>
    <w:rsid w:val="45746E85"/>
    <w:rsid w:val="45CF69D6"/>
    <w:rsid w:val="497846DA"/>
    <w:rsid w:val="497F3056"/>
    <w:rsid w:val="499441BE"/>
    <w:rsid w:val="4A2F08E2"/>
    <w:rsid w:val="4BDF1724"/>
    <w:rsid w:val="4DA150FB"/>
    <w:rsid w:val="50615016"/>
    <w:rsid w:val="50B64A0A"/>
    <w:rsid w:val="51624BA2"/>
    <w:rsid w:val="51DF61F2"/>
    <w:rsid w:val="51FC62E0"/>
    <w:rsid w:val="52946FDD"/>
    <w:rsid w:val="52C5363A"/>
    <w:rsid w:val="532A7A04"/>
    <w:rsid w:val="54063F0A"/>
    <w:rsid w:val="549A28A4"/>
    <w:rsid w:val="557F21C6"/>
    <w:rsid w:val="55AA4D69"/>
    <w:rsid w:val="58B24108"/>
    <w:rsid w:val="591F15CA"/>
    <w:rsid w:val="5A1530F9"/>
    <w:rsid w:val="5A53129F"/>
    <w:rsid w:val="5BC70423"/>
    <w:rsid w:val="5BF705DC"/>
    <w:rsid w:val="5EBF3633"/>
    <w:rsid w:val="5F6B3CB5"/>
    <w:rsid w:val="5F906D7E"/>
    <w:rsid w:val="60097209"/>
    <w:rsid w:val="601B2AEB"/>
    <w:rsid w:val="60E76E71"/>
    <w:rsid w:val="610C68D8"/>
    <w:rsid w:val="61265BEC"/>
    <w:rsid w:val="618E4F17"/>
    <w:rsid w:val="631A3B5D"/>
    <w:rsid w:val="633640E0"/>
    <w:rsid w:val="635B58F5"/>
    <w:rsid w:val="63E853DA"/>
    <w:rsid w:val="64264155"/>
    <w:rsid w:val="65E676F8"/>
    <w:rsid w:val="67FF35A1"/>
    <w:rsid w:val="68330BEE"/>
    <w:rsid w:val="69E00902"/>
    <w:rsid w:val="6BFF5A02"/>
    <w:rsid w:val="6E443B55"/>
    <w:rsid w:val="6FE86762"/>
    <w:rsid w:val="714B13A0"/>
    <w:rsid w:val="741C69DA"/>
    <w:rsid w:val="76962A74"/>
    <w:rsid w:val="76A2766B"/>
    <w:rsid w:val="77AE0952"/>
    <w:rsid w:val="77AE203F"/>
    <w:rsid w:val="7B0501C8"/>
    <w:rsid w:val="7CFE75C5"/>
    <w:rsid w:val="7ECD724F"/>
    <w:rsid w:val="7FAF1ED9"/>
    <w:rsid w:val="7FC71EF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3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1464</Words>
  <Characters>1596</Characters>
  <Lines>0</Lines>
  <Paragraphs>0</Paragraphs>
  <TotalTime>0</TotalTime>
  <ScaleCrop>false</ScaleCrop>
  <LinksUpToDate>false</LinksUpToDate>
  <CharactersWithSpaces>1645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2025-08-21T09:28:00Z</dcterms:created>
  <dc:creator>18442</dc:creator>
  <cp:lastModifiedBy>nancy杨茜</cp:lastModifiedBy>
  <dcterms:modified xsi:type="dcterms:W3CDTF">2026-01-07T12:22:16Z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2025-08-21T14:29:57Z</vt:filetime>
  </property>
  <property fmtid="{D5CDD505-2E9C-101B-9397-08002B2CF9AE}" pid="3" name="CRO">
    <vt:lpwstr>wqlLaW5nc29mdCBQREYgdG8gV1BTIDExNQ</vt:lpwstr>
  </property>
  <property fmtid="{D5CDD505-2E9C-101B-9397-08002B2CF9AE}" pid="4" name="ICV">
    <vt:lpwstr>03FC1D43EDCA4F5BBA17BEC7C57D6B1F_12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eyJoZGlkIjoiYzZkNzQ4ZWFiZmQ4NTRhOWRkZTk3YTMwMjlmMmZhYmUiLCJ1c2VySWQiOiI0Mzg5MjI4MjYifQ==</vt:lpwstr>
  </property>
</Properties>
</file>