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6D399">
      <w:pPr>
        <w:pStyle w:val="26"/>
        <w:bidi w:val="0"/>
        <w:rPr>
          <w:rFonts w:hint="eastAsia"/>
        </w:rPr>
      </w:pPr>
      <w:bookmarkStart w:id="0" w:name="_Toc1394"/>
    </w:p>
    <w:p w14:paraId="188E0409">
      <w:pPr>
        <w:pStyle w:val="26"/>
        <w:bidi w:val="0"/>
      </w:pPr>
      <w:r>
        <w:rPr>
          <w:rFonts w:hint="eastAsia"/>
        </w:rPr>
        <w:t>临夏回族自治州中医医院“智慧银医”项目</w:t>
      </w:r>
      <w:r>
        <w:rPr>
          <w:rFonts w:hint="eastAsia"/>
          <w:lang w:val="en-US" w:eastAsia="zh-CN"/>
        </w:rPr>
        <w:t>连续性</w:t>
      </w:r>
      <w:r>
        <w:t>计划</w:t>
      </w:r>
      <w:bookmarkEnd w:id="0"/>
    </w:p>
    <w:p w14:paraId="786C1A2F">
      <w:pPr>
        <w:pStyle w:val="27"/>
        <w:bidi w:val="0"/>
      </w:pPr>
      <w:bookmarkStart w:id="1" w:name="_Toc23167"/>
      <w:r>
        <w:t>甘肃国邦信息科技有限公司</w:t>
      </w:r>
      <w:bookmarkEnd w:id="1"/>
    </w:p>
    <w:p w14:paraId="6DE319B3">
      <w:pPr>
        <w:spacing w:before="117" w:line="219" w:lineRule="auto"/>
        <w:jc w:val="center"/>
        <w:rPr>
          <w:rFonts w:ascii="宋体" w:hAnsi="宋体" w:eastAsia="宋体" w:cs="宋体"/>
          <w:sz w:val="36"/>
          <w:szCs w:val="36"/>
        </w:rPr>
      </w:pPr>
      <w:r>
        <w:rPr>
          <w:rFonts w:ascii="宋体" w:hAnsi="宋体" w:eastAsia="宋体" w:cs="宋体"/>
          <w:spacing w:val="-2"/>
          <w:sz w:val="36"/>
          <w:szCs w:val="36"/>
        </w:rPr>
        <w:t>202</w:t>
      </w:r>
      <w:r>
        <w:rPr>
          <w:rFonts w:hint="eastAsia" w:ascii="宋体" w:hAnsi="宋体" w:cs="宋体"/>
          <w:spacing w:val="-2"/>
          <w:sz w:val="36"/>
          <w:szCs w:val="36"/>
          <w:lang w:val="en-US" w:eastAsia="zh-CN"/>
        </w:rPr>
        <w:t>5</w:t>
      </w:r>
      <w:r>
        <w:rPr>
          <w:rFonts w:ascii="宋体" w:hAnsi="宋体" w:eastAsia="宋体" w:cs="宋体"/>
          <w:spacing w:val="-2"/>
          <w:sz w:val="36"/>
          <w:szCs w:val="36"/>
        </w:rPr>
        <w:t>-01-04</w:t>
      </w:r>
    </w:p>
    <w:p w14:paraId="6C7CFB59">
      <w:r>
        <w:br w:type="page"/>
      </w:r>
    </w:p>
    <w:p w14:paraId="7DEDE57F">
      <w:pPr>
        <w:spacing w:before="69" w:line="220" w:lineRule="auto"/>
        <w:ind w:left="3954"/>
        <w:outlineLvl w:val="0"/>
        <w:rPr>
          <w:rFonts w:ascii="宋体" w:hAnsi="宋体" w:eastAsia="宋体" w:cs="宋体"/>
          <w:sz w:val="21"/>
          <w:szCs w:val="21"/>
        </w:rPr>
      </w:pPr>
      <w:bookmarkStart w:id="2" w:name="_Toc19929"/>
      <w:r>
        <w:rPr>
          <w:rFonts w:ascii="宋体" w:hAnsi="宋体" w:eastAsia="宋体" w:cs="宋体"/>
          <w:spacing w:val="-2"/>
          <w:sz w:val="21"/>
          <w:szCs w:val="21"/>
        </w:rPr>
        <w:t>文档信息</w:t>
      </w:r>
      <w:bookmarkEnd w:id="2"/>
    </w:p>
    <w:p w14:paraId="36409747">
      <w:pPr>
        <w:spacing w:line="16" w:lineRule="exact"/>
      </w:pPr>
    </w:p>
    <w:tbl>
      <w:tblPr>
        <w:tblStyle w:val="24"/>
        <w:tblW w:w="9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5"/>
        <w:gridCol w:w="2302"/>
        <w:gridCol w:w="1557"/>
        <w:gridCol w:w="1953"/>
      </w:tblGrid>
      <w:tr w14:paraId="204FE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64A68E17">
            <w:pPr>
              <w:pStyle w:val="25"/>
              <w:spacing w:before="199" w:line="220" w:lineRule="auto"/>
              <w:ind w:left="225"/>
            </w:pPr>
            <w:r>
              <w:rPr>
                <w:spacing w:val="-2"/>
              </w:rPr>
              <w:t>文档名称编号</w:t>
            </w:r>
          </w:p>
        </w:tc>
        <w:tc>
          <w:tcPr>
            <w:tcW w:w="7367" w:type="dxa"/>
            <w:gridSpan w:val="4"/>
          </w:tcPr>
          <w:p w14:paraId="64EABAF2">
            <w:pPr>
              <w:pStyle w:val="25"/>
              <w:spacing w:before="200" w:line="218" w:lineRule="auto"/>
              <w:ind w:left="108"/>
            </w:pPr>
            <w:r>
              <w:rPr>
                <w:rFonts w:hint="eastAsia"/>
                <w:spacing w:val="-1"/>
                <w:lang w:val="en-US" w:eastAsia="zh-CN"/>
              </w:rPr>
              <w:t>连续性</w:t>
            </w:r>
            <w:r>
              <w:rPr>
                <w:rFonts w:hint="eastAsia" w:eastAsia="宋体"/>
                <w:spacing w:val="-1"/>
                <w:lang w:val="en-US" w:eastAsia="zh-CN"/>
              </w:rPr>
              <w:t>计划</w:t>
            </w:r>
            <w:r>
              <w:rPr>
                <w:spacing w:val="-1"/>
              </w:rPr>
              <w:t>（GSGB-ITSS-</w:t>
            </w:r>
            <w:r>
              <w:rPr>
                <w:rFonts w:hint="eastAsia"/>
                <w:spacing w:val="-1"/>
                <w:lang w:val="en-US" w:eastAsia="zh-CN"/>
              </w:rPr>
              <w:t>LXX</w:t>
            </w:r>
            <w:r>
              <w:rPr>
                <w:rFonts w:hint="eastAsia" w:eastAsia="宋体"/>
                <w:spacing w:val="-1"/>
                <w:lang w:val="en-US" w:eastAsia="zh-CN"/>
              </w:rPr>
              <w:t>JH</w:t>
            </w:r>
            <w:r>
              <w:rPr>
                <w:spacing w:val="-1"/>
              </w:rPr>
              <w:t>）</w:t>
            </w:r>
          </w:p>
        </w:tc>
      </w:tr>
      <w:tr w14:paraId="4722E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66A19658">
            <w:pPr>
              <w:pStyle w:val="25"/>
              <w:spacing w:before="196" w:line="220" w:lineRule="auto"/>
              <w:ind w:left="435"/>
            </w:pPr>
            <w:r>
              <w:rPr>
                <w:spacing w:val="-2"/>
              </w:rPr>
              <w:t>编制单位</w:t>
            </w:r>
          </w:p>
        </w:tc>
        <w:tc>
          <w:tcPr>
            <w:tcW w:w="7367" w:type="dxa"/>
            <w:gridSpan w:val="4"/>
          </w:tcPr>
          <w:p w14:paraId="76C6AD81">
            <w:pPr>
              <w:pStyle w:val="25"/>
              <w:spacing w:before="197" w:line="219" w:lineRule="auto"/>
              <w:ind w:left="108"/>
            </w:pPr>
            <w:r>
              <w:rPr>
                <w:spacing w:val="-1"/>
              </w:rPr>
              <w:t>甘肃国邦信息科技有限公司</w:t>
            </w:r>
          </w:p>
        </w:tc>
      </w:tr>
      <w:tr w14:paraId="5AE06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68E0D088">
            <w:pPr>
              <w:pStyle w:val="25"/>
              <w:spacing w:before="199" w:line="219" w:lineRule="auto"/>
              <w:ind w:left="435"/>
            </w:pPr>
            <w:r>
              <w:rPr>
                <w:spacing w:val="-2"/>
              </w:rPr>
              <w:t>文档版本</w:t>
            </w:r>
          </w:p>
        </w:tc>
        <w:tc>
          <w:tcPr>
            <w:tcW w:w="1555" w:type="dxa"/>
          </w:tcPr>
          <w:p w14:paraId="4982727C">
            <w:pPr>
              <w:pStyle w:val="25"/>
              <w:spacing w:before="199" w:line="219" w:lineRule="auto"/>
              <w:ind w:left="359"/>
            </w:pPr>
            <w:r>
              <w:rPr>
                <w:spacing w:val="-2"/>
              </w:rPr>
              <w:t>版本日期</w:t>
            </w:r>
          </w:p>
        </w:tc>
        <w:tc>
          <w:tcPr>
            <w:tcW w:w="2302" w:type="dxa"/>
          </w:tcPr>
          <w:p w14:paraId="0756ED21">
            <w:pPr>
              <w:pStyle w:val="25"/>
              <w:spacing w:before="199" w:line="219" w:lineRule="auto"/>
              <w:ind w:left="735"/>
            </w:pPr>
            <w:r>
              <w:rPr>
                <w:spacing w:val="-2"/>
              </w:rPr>
              <w:t>版本说明</w:t>
            </w:r>
          </w:p>
        </w:tc>
        <w:tc>
          <w:tcPr>
            <w:tcW w:w="1557" w:type="dxa"/>
          </w:tcPr>
          <w:p w14:paraId="6346F2C8">
            <w:pPr>
              <w:pStyle w:val="25"/>
              <w:spacing w:before="199" w:line="220" w:lineRule="auto"/>
              <w:ind w:left="575"/>
            </w:pPr>
            <w:r>
              <w:rPr>
                <w:spacing w:val="-3"/>
              </w:rPr>
              <w:t>作者</w:t>
            </w:r>
          </w:p>
        </w:tc>
        <w:tc>
          <w:tcPr>
            <w:tcW w:w="1953" w:type="dxa"/>
          </w:tcPr>
          <w:p w14:paraId="619BBFBD">
            <w:pPr>
              <w:pStyle w:val="25"/>
              <w:spacing w:before="199" w:line="220" w:lineRule="auto"/>
              <w:ind w:left="782"/>
            </w:pPr>
            <w:r>
              <w:rPr>
                <w:spacing w:val="-5"/>
              </w:rPr>
              <w:t>审核</w:t>
            </w:r>
          </w:p>
        </w:tc>
      </w:tr>
      <w:tr w14:paraId="7F864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5EA5FDFB">
            <w:pPr>
              <w:pStyle w:val="25"/>
              <w:spacing w:before="163" w:line="239" w:lineRule="auto"/>
              <w:ind w:left="638"/>
            </w:pPr>
            <w:r>
              <w:rPr>
                <w:spacing w:val="-1"/>
              </w:rPr>
              <w:t>V1.0</w:t>
            </w:r>
          </w:p>
        </w:tc>
        <w:tc>
          <w:tcPr>
            <w:tcW w:w="1555" w:type="dxa"/>
          </w:tcPr>
          <w:p w14:paraId="7B51811F">
            <w:pPr>
              <w:pStyle w:val="25"/>
              <w:spacing w:before="163"/>
              <w:ind w:left="361"/>
            </w:pPr>
            <w:r>
              <w:rPr>
                <w:spacing w:val="-2"/>
              </w:rPr>
              <w:t>20</w:t>
            </w:r>
            <w:r>
              <w:rPr>
                <w:rFonts w:hint="eastAsia" w:eastAsia="宋体"/>
                <w:spacing w:val="-2"/>
                <w:lang w:val="en-US" w:eastAsia="zh-CN"/>
              </w:rPr>
              <w:t>25</w:t>
            </w:r>
            <w:r>
              <w:rPr>
                <w:spacing w:val="-2"/>
              </w:rPr>
              <w:t>-1-4</w:t>
            </w:r>
          </w:p>
        </w:tc>
        <w:tc>
          <w:tcPr>
            <w:tcW w:w="2302" w:type="dxa"/>
          </w:tcPr>
          <w:p w14:paraId="7E91D167">
            <w:pPr>
              <w:pStyle w:val="25"/>
              <w:spacing w:before="133" w:line="219" w:lineRule="auto"/>
              <w:ind w:left="738"/>
            </w:pPr>
            <w:r>
              <w:rPr>
                <w:spacing w:val="-3"/>
              </w:rPr>
              <w:t>发布版本</w:t>
            </w:r>
          </w:p>
        </w:tc>
        <w:tc>
          <w:tcPr>
            <w:tcW w:w="1557" w:type="dxa"/>
          </w:tcPr>
          <w:p w14:paraId="74D573C1">
            <w:pPr>
              <w:pStyle w:val="25"/>
              <w:spacing w:before="134" w:line="220" w:lineRule="auto"/>
              <w:ind w:left="480"/>
              <w:rPr>
                <w:rFonts w:hint="eastAsia" w:eastAsia="宋体"/>
                <w:lang w:val="en-US" w:eastAsia="zh-CN"/>
              </w:rPr>
            </w:pPr>
            <w:r>
              <w:rPr>
                <w:rFonts w:hint="eastAsia" w:eastAsia="宋体"/>
                <w:lang w:val="en-US" w:eastAsia="zh-CN"/>
              </w:rPr>
              <w:t>胡葛鹏宇</w:t>
            </w:r>
          </w:p>
        </w:tc>
        <w:tc>
          <w:tcPr>
            <w:tcW w:w="1953" w:type="dxa"/>
          </w:tcPr>
          <w:p w14:paraId="57B10CF4">
            <w:pPr>
              <w:pStyle w:val="25"/>
              <w:spacing w:before="133" w:line="220" w:lineRule="auto"/>
              <w:ind w:left="672"/>
            </w:pPr>
            <w:r>
              <w:rPr>
                <w:spacing w:val="-3"/>
              </w:rPr>
              <w:t>黄益溪</w:t>
            </w:r>
          </w:p>
        </w:tc>
      </w:tr>
      <w:tr w14:paraId="2D2E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6AD4970">
            <w:pPr>
              <w:pStyle w:val="25"/>
              <w:spacing w:before="164" w:line="239" w:lineRule="auto"/>
              <w:ind w:left="638"/>
            </w:pPr>
          </w:p>
        </w:tc>
        <w:tc>
          <w:tcPr>
            <w:tcW w:w="1555" w:type="dxa"/>
          </w:tcPr>
          <w:p w14:paraId="303D3188">
            <w:pPr>
              <w:pStyle w:val="25"/>
              <w:spacing w:before="164"/>
              <w:ind w:left="361"/>
            </w:pPr>
          </w:p>
        </w:tc>
        <w:tc>
          <w:tcPr>
            <w:tcW w:w="2302" w:type="dxa"/>
          </w:tcPr>
          <w:p w14:paraId="25CF3833">
            <w:pPr>
              <w:pStyle w:val="25"/>
              <w:spacing w:before="134" w:line="219" w:lineRule="auto"/>
              <w:ind w:left="737"/>
            </w:pPr>
          </w:p>
        </w:tc>
        <w:tc>
          <w:tcPr>
            <w:tcW w:w="1557" w:type="dxa"/>
          </w:tcPr>
          <w:p w14:paraId="23D7D27D">
            <w:pPr>
              <w:pStyle w:val="25"/>
              <w:spacing w:before="135" w:line="220" w:lineRule="auto"/>
              <w:ind w:left="480"/>
            </w:pPr>
          </w:p>
        </w:tc>
        <w:tc>
          <w:tcPr>
            <w:tcW w:w="1953" w:type="dxa"/>
          </w:tcPr>
          <w:p w14:paraId="2361D238">
            <w:pPr>
              <w:pStyle w:val="25"/>
              <w:spacing w:before="134" w:line="220" w:lineRule="auto"/>
              <w:ind w:left="672"/>
            </w:pPr>
          </w:p>
        </w:tc>
      </w:tr>
      <w:tr w14:paraId="2C1CB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081F6417">
            <w:pPr>
              <w:pStyle w:val="25"/>
              <w:spacing w:before="165" w:line="239" w:lineRule="auto"/>
              <w:ind w:left="638"/>
            </w:pPr>
          </w:p>
        </w:tc>
        <w:tc>
          <w:tcPr>
            <w:tcW w:w="1555" w:type="dxa"/>
          </w:tcPr>
          <w:p w14:paraId="700D4AD8">
            <w:pPr>
              <w:pStyle w:val="25"/>
              <w:spacing w:before="165"/>
              <w:ind w:left="361"/>
            </w:pPr>
          </w:p>
        </w:tc>
        <w:tc>
          <w:tcPr>
            <w:tcW w:w="2302" w:type="dxa"/>
          </w:tcPr>
          <w:p w14:paraId="36C47C98">
            <w:pPr>
              <w:pStyle w:val="25"/>
              <w:spacing w:before="135" w:line="219" w:lineRule="auto"/>
              <w:ind w:left="737"/>
            </w:pPr>
          </w:p>
        </w:tc>
        <w:tc>
          <w:tcPr>
            <w:tcW w:w="1557" w:type="dxa"/>
          </w:tcPr>
          <w:p w14:paraId="2DD61249">
            <w:pPr>
              <w:pStyle w:val="25"/>
              <w:spacing w:before="136" w:line="220" w:lineRule="auto"/>
              <w:ind w:left="480"/>
            </w:pPr>
          </w:p>
        </w:tc>
        <w:tc>
          <w:tcPr>
            <w:tcW w:w="1953" w:type="dxa"/>
          </w:tcPr>
          <w:p w14:paraId="22E8FE6D">
            <w:pPr>
              <w:pStyle w:val="25"/>
              <w:spacing w:before="135" w:line="220" w:lineRule="auto"/>
              <w:ind w:left="672"/>
            </w:pPr>
          </w:p>
        </w:tc>
      </w:tr>
      <w:tr w14:paraId="3C288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E6FC3CE">
            <w:pPr>
              <w:pStyle w:val="25"/>
              <w:spacing w:before="166" w:line="239" w:lineRule="auto"/>
              <w:ind w:left="638"/>
            </w:pPr>
          </w:p>
        </w:tc>
        <w:tc>
          <w:tcPr>
            <w:tcW w:w="1555" w:type="dxa"/>
          </w:tcPr>
          <w:p w14:paraId="2BA2FA3D">
            <w:pPr>
              <w:pStyle w:val="25"/>
              <w:spacing w:before="166"/>
              <w:ind w:left="361"/>
            </w:pPr>
          </w:p>
        </w:tc>
        <w:tc>
          <w:tcPr>
            <w:tcW w:w="2302" w:type="dxa"/>
          </w:tcPr>
          <w:p w14:paraId="4DFCBE8C">
            <w:pPr>
              <w:pStyle w:val="25"/>
              <w:spacing w:before="136" w:line="219" w:lineRule="auto"/>
              <w:ind w:left="737"/>
            </w:pPr>
          </w:p>
        </w:tc>
        <w:tc>
          <w:tcPr>
            <w:tcW w:w="1557" w:type="dxa"/>
          </w:tcPr>
          <w:p w14:paraId="71028237">
            <w:pPr>
              <w:pStyle w:val="25"/>
              <w:spacing w:before="137" w:line="220" w:lineRule="auto"/>
              <w:ind w:left="480"/>
            </w:pPr>
          </w:p>
        </w:tc>
        <w:tc>
          <w:tcPr>
            <w:tcW w:w="1953" w:type="dxa"/>
          </w:tcPr>
          <w:p w14:paraId="692554B7">
            <w:pPr>
              <w:pStyle w:val="25"/>
              <w:spacing w:before="136" w:line="220" w:lineRule="auto"/>
              <w:ind w:left="672"/>
            </w:pPr>
          </w:p>
        </w:tc>
      </w:tr>
      <w:tr w14:paraId="06349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4C490FC6">
            <w:pPr>
              <w:rPr>
                <w:rFonts w:ascii="Arial"/>
                <w:sz w:val="21"/>
              </w:rPr>
            </w:pPr>
          </w:p>
        </w:tc>
        <w:tc>
          <w:tcPr>
            <w:tcW w:w="1555" w:type="dxa"/>
          </w:tcPr>
          <w:p w14:paraId="1CD842F5">
            <w:pPr>
              <w:rPr>
                <w:rFonts w:ascii="Arial"/>
                <w:sz w:val="21"/>
              </w:rPr>
            </w:pPr>
          </w:p>
        </w:tc>
        <w:tc>
          <w:tcPr>
            <w:tcW w:w="2302" w:type="dxa"/>
          </w:tcPr>
          <w:p w14:paraId="01230654">
            <w:pPr>
              <w:rPr>
                <w:rFonts w:ascii="Arial"/>
                <w:sz w:val="21"/>
              </w:rPr>
            </w:pPr>
          </w:p>
        </w:tc>
        <w:tc>
          <w:tcPr>
            <w:tcW w:w="1557" w:type="dxa"/>
          </w:tcPr>
          <w:p w14:paraId="2A212D28">
            <w:pPr>
              <w:rPr>
                <w:rFonts w:ascii="Arial"/>
                <w:sz w:val="21"/>
              </w:rPr>
            </w:pPr>
          </w:p>
        </w:tc>
        <w:tc>
          <w:tcPr>
            <w:tcW w:w="1953" w:type="dxa"/>
          </w:tcPr>
          <w:p w14:paraId="634ACA1F">
            <w:pPr>
              <w:rPr>
                <w:rFonts w:ascii="Arial"/>
                <w:sz w:val="21"/>
              </w:rPr>
            </w:pPr>
          </w:p>
        </w:tc>
      </w:tr>
    </w:tbl>
    <w:p w14:paraId="29122B61">
      <w:r>
        <w:br w:type="page"/>
      </w:r>
    </w:p>
    <w:sdt>
      <w:sdtPr>
        <w:rPr>
          <w:rFonts w:ascii="宋体" w:hAnsi="宋体" w:eastAsia="宋体" w:cs="Arial"/>
          <w:snapToGrid w:val="0"/>
          <w:color w:val="000000"/>
          <w:kern w:val="0"/>
          <w:sz w:val="21"/>
          <w:szCs w:val="21"/>
          <w:lang w:val="en-US" w:eastAsia="en-US" w:bidi="ar-SA"/>
        </w:rPr>
        <w:id w:val="147473573"/>
        <w15:color w:val="DBDBDB"/>
        <w:docPartObj>
          <w:docPartGallery w:val="Table of Contents"/>
          <w:docPartUnique/>
        </w:docPartObj>
      </w:sdtPr>
      <w:sdtEndPr>
        <w:rPr>
          <w:rFonts w:ascii="Arial" w:hAnsi="Arial" w:eastAsia="宋体" w:cs="Arial"/>
          <w:snapToGrid w:val="0"/>
          <w:color w:val="000000"/>
          <w:kern w:val="0"/>
          <w:sz w:val="21"/>
          <w:szCs w:val="21"/>
          <w:lang w:val="en-US" w:eastAsia="en-US" w:bidi="ar-SA"/>
        </w:rPr>
      </w:sdtEndPr>
      <w:sdtContent>
        <w:p w14:paraId="15A3344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EEFA5EA">
          <w:pPr>
            <w:pStyle w:val="16"/>
            <w:tabs>
              <w:tab w:val="right" w:leader="dot" w:pos="9743"/>
            </w:tabs>
          </w:pPr>
          <w:r>
            <w:fldChar w:fldCharType="begin"/>
          </w:r>
          <w:r>
            <w:instrText xml:space="preserve">TOC \o "1-3" \h \u </w:instrText>
          </w:r>
          <w:r>
            <w:fldChar w:fldCharType="separate"/>
          </w:r>
          <w:r>
            <w:fldChar w:fldCharType="begin"/>
          </w:r>
          <w:r>
            <w:instrText xml:space="preserve"> HYPERLINK \l _Toc1394 </w:instrText>
          </w:r>
          <w:r>
            <w:fldChar w:fldCharType="separate"/>
          </w:r>
          <w:r>
            <w:rPr>
              <w:rFonts w:hint="eastAsia"/>
            </w:rPr>
            <w:t>临夏回族自治州中医医院“智慧银医”项目</w:t>
          </w:r>
          <w:r>
            <w:rPr>
              <w:rFonts w:hint="eastAsia"/>
              <w:lang w:val="en-US" w:eastAsia="zh-CN"/>
            </w:rPr>
            <w:t>连续性</w:t>
          </w:r>
          <w:r>
            <w:t>计划</w:t>
          </w:r>
          <w:r>
            <w:tab/>
          </w:r>
          <w:r>
            <w:fldChar w:fldCharType="begin"/>
          </w:r>
          <w:r>
            <w:instrText xml:space="preserve"> PAGEREF _Toc1394 \h </w:instrText>
          </w:r>
          <w:r>
            <w:fldChar w:fldCharType="separate"/>
          </w:r>
          <w:r>
            <w:t>1</w:t>
          </w:r>
          <w:r>
            <w:fldChar w:fldCharType="end"/>
          </w:r>
          <w:r>
            <w:fldChar w:fldCharType="end"/>
          </w:r>
        </w:p>
        <w:p w14:paraId="6F3AF10F">
          <w:pPr>
            <w:pStyle w:val="16"/>
            <w:tabs>
              <w:tab w:val="right" w:leader="dot" w:pos="9743"/>
            </w:tabs>
          </w:pPr>
          <w:r>
            <w:fldChar w:fldCharType="begin"/>
          </w:r>
          <w:r>
            <w:instrText xml:space="preserve"> HYPERLINK \l _Toc23167 </w:instrText>
          </w:r>
          <w:r>
            <w:fldChar w:fldCharType="separate"/>
          </w:r>
          <w:r>
            <w:t>甘肃国邦信息科技有限公司</w:t>
          </w:r>
          <w:r>
            <w:tab/>
          </w:r>
          <w:r>
            <w:fldChar w:fldCharType="begin"/>
          </w:r>
          <w:r>
            <w:instrText xml:space="preserve"> PAGEREF _Toc23167 \h </w:instrText>
          </w:r>
          <w:r>
            <w:fldChar w:fldCharType="separate"/>
          </w:r>
          <w:r>
            <w:t>1</w:t>
          </w:r>
          <w:r>
            <w:fldChar w:fldCharType="end"/>
          </w:r>
          <w:r>
            <w:fldChar w:fldCharType="end"/>
          </w:r>
        </w:p>
        <w:p w14:paraId="63370793">
          <w:pPr>
            <w:pStyle w:val="16"/>
            <w:tabs>
              <w:tab w:val="right" w:leader="dot" w:pos="9743"/>
            </w:tabs>
          </w:pPr>
          <w:r>
            <w:fldChar w:fldCharType="begin"/>
          </w:r>
          <w:r>
            <w:instrText xml:space="preserve"> HYPERLINK \l _Toc19929 </w:instrText>
          </w:r>
          <w:r>
            <w:fldChar w:fldCharType="separate"/>
          </w:r>
          <w:r>
            <w:rPr>
              <w:rFonts w:ascii="宋体" w:hAnsi="宋体" w:eastAsia="宋体" w:cs="宋体"/>
              <w:spacing w:val="-2"/>
              <w:szCs w:val="21"/>
            </w:rPr>
            <w:t>文档信息</w:t>
          </w:r>
          <w:r>
            <w:tab/>
          </w:r>
          <w:r>
            <w:fldChar w:fldCharType="begin"/>
          </w:r>
          <w:r>
            <w:instrText xml:space="preserve"> PAGEREF _Toc19929 \h </w:instrText>
          </w:r>
          <w:r>
            <w:fldChar w:fldCharType="separate"/>
          </w:r>
          <w:r>
            <w:t>2</w:t>
          </w:r>
          <w:r>
            <w:fldChar w:fldCharType="end"/>
          </w:r>
          <w:r>
            <w:fldChar w:fldCharType="end"/>
          </w:r>
        </w:p>
        <w:p w14:paraId="7009DED2">
          <w:pPr>
            <w:pStyle w:val="16"/>
            <w:tabs>
              <w:tab w:val="right" w:leader="dot" w:pos="9743"/>
            </w:tabs>
          </w:pPr>
          <w:r>
            <w:fldChar w:fldCharType="begin"/>
          </w:r>
          <w:r>
            <w:instrText xml:space="preserve"> HYPERLINK \l _Toc19261 </w:instrText>
          </w:r>
          <w:r>
            <w:fldChar w:fldCharType="separate"/>
          </w:r>
          <w:r>
            <w:rPr>
              <w:rFonts w:hint="default"/>
            </w:rPr>
            <w:t xml:space="preserve">1. </w:t>
          </w:r>
          <w:r>
            <w:rPr>
              <w:rFonts w:hint="eastAsia"/>
            </w:rPr>
            <w:t>目的</w:t>
          </w:r>
          <w:r>
            <w:tab/>
          </w:r>
          <w:r>
            <w:fldChar w:fldCharType="begin"/>
          </w:r>
          <w:r>
            <w:instrText xml:space="preserve"> PAGEREF _Toc19261 \h </w:instrText>
          </w:r>
          <w:r>
            <w:fldChar w:fldCharType="separate"/>
          </w:r>
          <w:r>
            <w:t>4</w:t>
          </w:r>
          <w:r>
            <w:fldChar w:fldCharType="end"/>
          </w:r>
          <w:r>
            <w:fldChar w:fldCharType="end"/>
          </w:r>
        </w:p>
        <w:p w14:paraId="70E9CB35">
          <w:pPr>
            <w:pStyle w:val="16"/>
            <w:tabs>
              <w:tab w:val="right" w:leader="dot" w:pos="9743"/>
            </w:tabs>
          </w:pPr>
          <w:r>
            <w:fldChar w:fldCharType="begin"/>
          </w:r>
          <w:r>
            <w:instrText xml:space="preserve"> HYPERLINK \l _Toc32743 </w:instrText>
          </w:r>
          <w:r>
            <w:fldChar w:fldCharType="separate"/>
          </w:r>
          <w:r>
            <w:rPr>
              <w:rFonts w:hint="default"/>
            </w:rPr>
            <w:t xml:space="preserve">2. </w:t>
          </w:r>
          <w:r>
            <w:rPr>
              <w:rFonts w:hint="eastAsia"/>
            </w:rPr>
            <w:t>适用范围</w:t>
          </w:r>
          <w:r>
            <w:tab/>
          </w:r>
          <w:r>
            <w:fldChar w:fldCharType="begin"/>
          </w:r>
          <w:r>
            <w:instrText xml:space="preserve"> PAGEREF _Toc32743 \h </w:instrText>
          </w:r>
          <w:r>
            <w:fldChar w:fldCharType="separate"/>
          </w:r>
          <w:r>
            <w:t>4</w:t>
          </w:r>
          <w:r>
            <w:fldChar w:fldCharType="end"/>
          </w:r>
          <w:r>
            <w:fldChar w:fldCharType="end"/>
          </w:r>
        </w:p>
        <w:p w14:paraId="1D672A0A">
          <w:pPr>
            <w:pStyle w:val="16"/>
            <w:tabs>
              <w:tab w:val="right" w:leader="dot" w:pos="9743"/>
            </w:tabs>
          </w:pPr>
          <w:r>
            <w:fldChar w:fldCharType="begin"/>
          </w:r>
          <w:r>
            <w:instrText xml:space="preserve"> HYPERLINK \l _Toc468 </w:instrText>
          </w:r>
          <w:r>
            <w:fldChar w:fldCharType="separate"/>
          </w:r>
          <w:r>
            <w:rPr>
              <w:rFonts w:hint="default"/>
            </w:rPr>
            <w:t xml:space="preserve">3. </w:t>
          </w:r>
          <w:r>
            <w:rPr>
              <w:rFonts w:hint="eastAsia"/>
            </w:rPr>
            <w:t>连续性计划</w:t>
          </w:r>
          <w:r>
            <w:tab/>
          </w:r>
          <w:r>
            <w:fldChar w:fldCharType="begin"/>
          </w:r>
          <w:r>
            <w:instrText xml:space="preserve"> PAGEREF _Toc468 \h </w:instrText>
          </w:r>
          <w:r>
            <w:fldChar w:fldCharType="separate"/>
          </w:r>
          <w:r>
            <w:t>4</w:t>
          </w:r>
          <w:r>
            <w:fldChar w:fldCharType="end"/>
          </w:r>
          <w:r>
            <w:fldChar w:fldCharType="end"/>
          </w:r>
        </w:p>
        <w:p w14:paraId="47B09073">
          <w:pPr>
            <w:pStyle w:val="17"/>
            <w:tabs>
              <w:tab w:val="right" w:leader="dot" w:pos="9743"/>
            </w:tabs>
          </w:pPr>
          <w:r>
            <w:fldChar w:fldCharType="begin"/>
          </w:r>
          <w:r>
            <w:instrText xml:space="preserve"> HYPERLINK \l _Toc26876 </w:instrText>
          </w:r>
          <w:r>
            <w:fldChar w:fldCharType="separate"/>
          </w:r>
          <w:r>
            <w:rPr>
              <w:rFonts w:hint="default"/>
            </w:rPr>
            <w:t xml:space="preserve">3.1. </w:t>
          </w:r>
          <w:r>
            <w:rPr>
              <w:rFonts w:hint="eastAsia"/>
            </w:rPr>
            <w:t>计划的执行</w:t>
          </w:r>
          <w:r>
            <w:tab/>
          </w:r>
          <w:r>
            <w:fldChar w:fldCharType="begin"/>
          </w:r>
          <w:r>
            <w:instrText xml:space="preserve"> PAGEREF _Toc26876 \h </w:instrText>
          </w:r>
          <w:r>
            <w:fldChar w:fldCharType="separate"/>
          </w:r>
          <w:r>
            <w:t>4</w:t>
          </w:r>
          <w:r>
            <w:fldChar w:fldCharType="end"/>
          </w:r>
          <w:r>
            <w:fldChar w:fldCharType="end"/>
          </w:r>
        </w:p>
        <w:p w14:paraId="4364DD5A">
          <w:pPr>
            <w:pStyle w:val="13"/>
            <w:tabs>
              <w:tab w:val="right" w:leader="dot" w:pos="9743"/>
            </w:tabs>
          </w:pPr>
          <w:r>
            <w:fldChar w:fldCharType="begin"/>
          </w:r>
          <w:r>
            <w:instrText xml:space="preserve"> HYPERLINK \l _Toc18091 </w:instrText>
          </w:r>
          <w:r>
            <w:fldChar w:fldCharType="separate"/>
          </w:r>
          <w:r>
            <w:rPr>
              <w:rFonts w:hint="default"/>
            </w:rPr>
            <w:t xml:space="preserve">3.1.1. </w:t>
          </w:r>
          <w:r>
            <w:rPr>
              <w:rFonts w:hint="eastAsia"/>
            </w:rPr>
            <w:t>启动恢复计划</w:t>
          </w:r>
          <w:r>
            <w:tab/>
          </w:r>
          <w:r>
            <w:fldChar w:fldCharType="begin"/>
          </w:r>
          <w:r>
            <w:instrText xml:space="preserve"> PAGEREF _Toc18091 \h </w:instrText>
          </w:r>
          <w:r>
            <w:fldChar w:fldCharType="separate"/>
          </w:r>
          <w:r>
            <w:t>4</w:t>
          </w:r>
          <w:r>
            <w:fldChar w:fldCharType="end"/>
          </w:r>
          <w:r>
            <w:fldChar w:fldCharType="end"/>
          </w:r>
        </w:p>
        <w:p w14:paraId="6F489E8B">
          <w:pPr>
            <w:pStyle w:val="13"/>
            <w:tabs>
              <w:tab w:val="right" w:leader="dot" w:pos="9743"/>
            </w:tabs>
          </w:pPr>
          <w:r>
            <w:fldChar w:fldCharType="begin"/>
          </w:r>
          <w:r>
            <w:instrText xml:space="preserve"> HYPERLINK \l _Toc9819 </w:instrText>
          </w:r>
          <w:r>
            <w:fldChar w:fldCharType="separate"/>
          </w:r>
          <w:r>
            <w:rPr>
              <w:rFonts w:hint="default"/>
            </w:rPr>
            <w:t xml:space="preserve">3.1.2. </w:t>
          </w:r>
          <w:r>
            <w:rPr>
              <w:rFonts w:hint="eastAsia"/>
            </w:rPr>
            <w:t>3.1.2 执行过程</w:t>
          </w:r>
          <w:r>
            <w:tab/>
          </w:r>
          <w:r>
            <w:fldChar w:fldCharType="begin"/>
          </w:r>
          <w:r>
            <w:instrText xml:space="preserve"> PAGEREF _Toc9819 \h </w:instrText>
          </w:r>
          <w:r>
            <w:fldChar w:fldCharType="separate"/>
          </w:r>
          <w:r>
            <w:t>5</w:t>
          </w:r>
          <w:r>
            <w:fldChar w:fldCharType="end"/>
          </w:r>
          <w:r>
            <w:fldChar w:fldCharType="end"/>
          </w:r>
        </w:p>
        <w:p w14:paraId="01B734B0">
          <w:pPr>
            <w:pStyle w:val="13"/>
            <w:tabs>
              <w:tab w:val="right" w:leader="dot" w:pos="9743"/>
            </w:tabs>
          </w:pPr>
          <w:r>
            <w:fldChar w:fldCharType="begin"/>
          </w:r>
          <w:r>
            <w:instrText xml:space="preserve"> HYPERLINK \l _Toc18055 </w:instrText>
          </w:r>
          <w:r>
            <w:fldChar w:fldCharType="separate"/>
          </w:r>
          <w:r>
            <w:rPr>
              <w:rFonts w:hint="default"/>
            </w:rPr>
            <w:t xml:space="preserve">3.1.3. </w:t>
          </w:r>
          <w:r>
            <w:rPr>
              <w:rFonts w:hint="eastAsia"/>
            </w:rPr>
            <w:t>灾难恢复计划表</w:t>
          </w:r>
          <w:r>
            <w:tab/>
          </w:r>
          <w:r>
            <w:fldChar w:fldCharType="begin"/>
          </w:r>
          <w:r>
            <w:instrText xml:space="preserve"> PAGEREF _Toc18055 \h </w:instrText>
          </w:r>
          <w:r>
            <w:fldChar w:fldCharType="separate"/>
          </w:r>
          <w:r>
            <w:t>5</w:t>
          </w:r>
          <w:r>
            <w:fldChar w:fldCharType="end"/>
          </w:r>
          <w:r>
            <w:fldChar w:fldCharType="end"/>
          </w:r>
        </w:p>
        <w:p w14:paraId="2A29AC25">
          <w:pPr>
            <w:pStyle w:val="17"/>
            <w:tabs>
              <w:tab w:val="right" w:leader="dot" w:pos="9743"/>
            </w:tabs>
          </w:pPr>
          <w:r>
            <w:fldChar w:fldCharType="begin"/>
          </w:r>
          <w:r>
            <w:instrText xml:space="preserve"> HYPERLINK \l _Toc27644 </w:instrText>
          </w:r>
          <w:r>
            <w:fldChar w:fldCharType="separate"/>
          </w:r>
          <w:r>
            <w:rPr>
              <w:rFonts w:hint="default"/>
            </w:rPr>
            <w:t xml:space="preserve">3.2. </w:t>
          </w:r>
          <w:r>
            <w:rPr>
              <w:rFonts w:hint="eastAsia"/>
            </w:rPr>
            <w:t>连续性维护内容</w:t>
          </w:r>
          <w:r>
            <w:tab/>
          </w:r>
          <w:r>
            <w:fldChar w:fldCharType="begin"/>
          </w:r>
          <w:r>
            <w:instrText xml:space="preserve"> PAGEREF _Toc27644 \h </w:instrText>
          </w:r>
          <w:r>
            <w:fldChar w:fldCharType="separate"/>
          </w:r>
          <w:r>
            <w:t>5</w:t>
          </w:r>
          <w:r>
            <w:fldChar w:fldCharType="end"/>
          </w:r>
          <w:r>
            <w:fldChar w:fldCharType="end"/>
          </w:r>
        </w:p>
        <w:p w14:paraId="4101B9DE">
          <w:pPr>
            <w:pStyle w:val="13"/>
            <w:tabs>
              <w:tab w:val="right" w:leader="dot" w:pos="9743"/>
            </w:tabs>
          </w:pPr>
          <w:r>
            <w:fldChar w:fldCharType="begin"/>
          </w:r>
          <w:r>
            <w:instrText xml:space="preserve"> HYPERLINK \l _Toc24227 </w:instrText>
          </w:r>
          <w:r>
            <w:fldChar w:fldCharType="separate"/>
          </w:r>
          <w:r>
            <w:rPr>
              <w:rFonts w:hint="default"/>
            </w:rPr>
            <w:t xml:space="preserve">3.2.1. </w:t>
          </w:r>
          <w:r>
            <w:rPr>
              <w:rFonts w:hint="eastAsia"/>
            </w:rPr>
            <w:t>日常维护</w:t>
          </w:r>
          <w:r>
            <w:tab/>
          </w:r>
          <w:r>
            <w:fldChar w:fldCharType="begin"/>
          </w:r>
          <w:r>
            <w:instrText xml:space="preserve"> PAGEREF _Toc24227 \h </w:instrText>
          </w:r>
          <w:r>
            <w:fldChar w:fldCharType="separate"/>
          </w:r>
          <w:r>
            <w:t>5</w:t>
          </w:r>
          <w:r>
            <w:fldChar w:fldCharType="end"/>
          </w:r>
          <w:r>
            <w:fldChar w:fldCharType="end"/>
          </w:r>
        </w:p>
        <w:p w14:paraId="702C7885">
          <w:pPr>
            <w:pStyle w:val="13"/>
            <w:tabs>
              <w:tab w:val="right" w:leader="dot" w:pos="9743"/>
            </w:tabs>
          </w:pPr>
          <w:r>
            <w:fldChar w:fldCharType="begin"/>
          </w:r>
          <w:r>
            <w:instrText xml:space="preserve"> HYPERLINK \l _Toc16074 </w:instrText>
          </w:r>
          <w:r>
            <w:fldChar w:fldCharType="separate"/>
          </w:r>
          <w:r>
            <w:rPr>
              <w:rFonts w:hint="default"/>
            </w:rPr>
            <w:t xml:space="preserve">3.2.2. </w:t>
          </w:r>
          <w:r>
            <w:rPr>
              <w:rFonts w:hint="eastAsia"/>
            </w:rPr>
            <w:t>人员储备计划</w:t>
          </w:r>
          <w:r>
            <w:tab/>
          </w:r>
          <w:r>
            <w:fldChar w:fldCharType="begin"/>
          </w:r>
          <w:r>
            <w:instrText xml:space="preserve"> PAGEREF _Toc16074 \h </w:instrText>
          </w:r>
          <w:r>
            <w:fldChar w:fldCharType="separate"/>
          </w:r>
          <w:r>
            <w:t>6</w:t>
          </w:r>
          <w:r>
            <w:fldChar w:fldCharType="end"/>
          </w:r>
          <w:r>
            <w:fldChar w:fldCharType="end"/>
          </w:r>
        </w:p>
        <w:p w14:paraId="34D7E98B">
          <w:pPr>
            <w:pStyle w:val="13"/>
            <w:tabs>
              <w:tab w:val="right" w:leader="dot" w:pos="9743"/>
            </w:tabs>
          </w:pPr>
          <w:r>
            <w:fldChar w:fldCharType="begin"/>
          </w:r>
          <w:r>
            <w:instrText xml:space="preserve"> HYPERLINK \l _Toc4721 </w:instrText>
          </w:r>
          <w:r>
            <w:fldChar w:fldCharType="separate"/>
          </w:r>
          <w:r>
            <w:rPr>
              <w:rFonts w:hint="default"/>
            </w:rPr>
            <w:t xml:space="preserve">3.2.3. </w:t>
          </w:r>
          <w:r>
            <w:rPr>
              <w:rFonts w:hint="eastAsia"/>
            </w:rPr>
            <w:t>备用数据</w:t>
          </w:r>
          <w:r>
            <w:tab/>
          </w:r>
          <w:r>
            <w:fldChar w:fldCharType="begin"/>
          </w:r>
          <w:r>
            <w:instrText xml:space="preserve"> PAGEREF _Toc4721 \h </w:instrText>
          </w:r>
          <w:r>
            <w:fldChar w:fldCharType="separate"/>
          </w:r>
          <w:r>
            <w:t>6</w:t>
          </w:r>
          <w:r>
            <w:fldChar w:fldCharType="end"/>
          </w:r>
          <w:r>
            <w:fldChar w:fldCharType="end"/>
          </w:r>
        </w:p>
        <w:p w14:paraId="5B4C6193">
          <w:pPr>
            <w:pStyle w:val="13"/>
            <w:tabs>
              <w:tab w:val="right" w:leader="dot" w:pos="9743"/>
            </w:tabs>
          </w:pPr>
          <w:r>
            <w:fldChar w:fldCharType="begin"/>
          </w:r>
          <w:r>
            <w:instrText xml:space="preserve"> HYPERLINK \l _Toc9691 </w:instrText>
          </w:r>
          <w:r>
            <w:fldChar w:fldCharType="separate"/>
          </w:r>
          <w:r>
            <w:rPr>
              <w:rFonts w:hint="default"/>
            </w:rPr>
            <w:t xml:space="preserve">3.2.4. </w:t>
          </w:r>
          <w:r>
            <w:rPr>
              <w:rFonts w:hint="eastAsia"/>
            </w:rPr>
            <w:t>计划测试</w:t>
          </w:r>
          <w:r>
            <w:tab/>
          </w:r>
          <w:r>
            <w:fldChar w:fldCharType="begin"/>
          </w:r>
          <w:r>
            <w:instrText xml:space="preserve"> PAGEREF _Toc9691 \h </w:instrText>
          </w:r>
          <w:r>
            <w:fldChar w:fldCharType="separate"/>
          </w:r>
          <w:r>
            <w:t>6</w:t>
          </w:r>
          <w:r>
            <w:fldChar w:fldCharType="end"/>
          </w:r>
          <w:r>
            <w:fldChar w:fldCharType="end"/>
          </w:r>
        </w:p>
        <w:p w14:paraId="3559B4E5">
          <w:pPr>
            <w:pStyle w:val="13"/>
            <w:tabs>
              <w:tab w:val="right" w:leader="dot" w:pos="9743"/>
            </w:tabs>
          </w:pPr>
          <w:r>
            <w:fldChar w:fldCharType="begin"/>
          </w:r>
          <w:r>
            <w:instrText xml:space="preserve"> HYPERLINK \l _Toc16496 </w:instrText>
          </w:r>
          <w:r>
            <w:fldChar w:fldCharType="separate"/>
          </w:r>
          <w:r>
            <w:rPr>
              <w:rFonts w:hint="default"/>
            </w:rPr>
            <w:t xml:space="preserve">3.2.5. </w:t>
          </w:r>
          <w:r>
            <w:rPr>
              <w:rFonts w:hint="eastAsia"/>
            </w:rPr>
            <w:t>计划的培训</w:t>
          </w:r>
          <w:r>
            <w:tab/>
          </w:r>
          <w:r>
            <w:fldChar w:fldCharType="begin"/>
          </w:r>
          <w:r>
            <w:instrText xml:space="preserve"> PAGEREF _Toc16496 \h </w:instrText>
          </w:r>
          <w:r>
            <w:fldChar w:fldCharType="separate"/>
          </w:r>
          <w:r>
            <w:t>6</w:t>
          </w:r>
          <w:r>
            <w:fldChar w:fldCharType="end"/>
          </w:r>
          <w:r>
            <w:fldChar w:fldCharType="end"/>
          </w:r>
        </w:p>
        <w:p w14:paraId="344A3AF8">
          <w:r>
            <w:fldChar w:fldCharType="end"/>
          </w:r>
        </w:p>
      </w:sdtContent>
    </w:sdt>
    <w:p w14:paraId="4F14BEB9">
      <w:r>
        <w:rPr>
          <w:rFonts w:ascii="Arial" w:hAnsi="Arial" w:eastAsia="宋体" w:cs="Arial"/>
          <w:snapToGrid w:val="0"/>
          <w:color w:val="000000"/>
          <w:kern w:val="0"/>
          <w:sz w:val="21"/>
          <w:szCs w:val="21"/>
          <w:lang w:val="en-US" w:eastAsia="en-US" w:bidi="ar-SA"/>
        </w:rPr>
        <w:br w:type="page"/>
      </w:r>
    </w:p>
    <w:p w14:paraId="6922365F">
      <w:pPr>
        <w:pStyle w:val="28"/>
        <w:bidi w:val="0"/>
        <w:rPr>
          <w:rFonts w:hint="eastAsia"/>
        </w:rPr>
      </w:pPr>
      <w:bookmarkStart w:id="3" w:name="_Toc19261"/>
      <w:r>
        <w:rPr>
          <w:rFonts w:hint="eastAsia"/>
        </w:rPr>
        <w:t>目的</w:t>
      </w:r>
      <w:bookmarkEnd w:id="3"/>
    </w:p>
    <w:p w14:paraId="2A0BB1C3">
      <w:pPr>
        <w:pStyle w:val="29"/>
        <w:bidi w:val="0"/>
        <w:rPr>
          <w:rFonts w:hint="eastAsia"/>
        </w:rPr>
      </w:pPr>
      <w:r>
        <w:rPr>
          <w:rFonts w:hint="eastAsia"/>
        </w:rPr>
        <w:t>为确保临夏回族自治州中医医院“智慧银医”项目（以下简称“项目”）在遭遇重大故障、灾难事件或其他严重影响运维服务的突发事件后，能迅速、有序地恢复系统功能与业务运行，保障医院诊疗服务的连续性，最大限度降低对患者就医流程的影响，特制定本连续性计划。</w:t>
      </w:r>
    </w:p>
    <w:p w14:paraId="2775768D">
      <w:pPr>
        <w:pStyle w:val="28"/>
        <w:bidi w:val="0"/>
        <w:rPr>
          <w:rFonts w:hint="eastAsia"/>
        </w:rPr>
      </w:pPr>
      <w:bookmarkStart w:id="4" w:name="_Toc32743"/>
      <w:r>
        <w:rPr>
          <w:rFonts w:hint="eastAsia"/>
        </w:rPr>
        <w:t>适用范围</w:t>
      </w:r>
      <w:bookmarkEnd w:id="4"/>
    </w:p>
    <w:p w14:paraId="1406A734">
      <w:pPr>
        <w:pStyle w:val="29"/>
        <w:bidi w:val="0"/>
        <w:rPr>
          <w:rFonts w:hint="eastAsia"/>
        </w:rPr>
      </w:pPr>
      <w:r>
        <w:rPr>
          <w:rFonts w:hint="eastAsia"/>
        </w:rPr>
        <w:t>本计划适用于“智慧银医”项目全部运维服务活动遭遇以下灾难性或重大中断事件后的应急响应与恢复处理：</w:t>
      </w:r>
    </w:p>
    <w:p w14:paraId="0B6BDE95">
      <w:pPr>
        <w:pStyle w:val="39"/>
        <w:numPr>
          <w:ilvl w:val="0"/>
          <w:numId w:val="2"/>
        </w:numPr>
        <w:bidi w:val="0"/>
        <w:ind w:left="425" w:leftChars="0" w:hanging="425" w:firstLineChars="0"/>
        <w:rPr>
          <w:rFonts w:hint="eastAsia"/>
        </w:rPr>
      </w:pPr>
      <w:r>
        <w:rPr>
          <w:rFonts w:hint="eastAsia"/>
        </w:rPr>
        <w:t>核心系统（自助终端系统、诊间支付系统）完全不可用</w:t>
      </w:r>
    </w:p>
    <w:p w14:paraId="5061C23A">
      <w:pPr>
        <w:pStyle w:val="39"/>
        <w:numPr>
          <w:ilvl w:val="0"/>
          <w:numId w:val="2"/>
        </w:numPr>
        <w:bidi w:val="0"/>
        <w:ind w:left="425" w:leftChars="0" w:hanging="425" w:firstLineChars="0"/>
        <w:rPr>
          <w:rFonts w:hint="eastAsia"/>
        </w:rPr>
      </w:pPr>
      <w:r>
        <w:rPr>
          <w:rFonts w:hint="eastAsia"/>
        </w:rPr>
        <w:t>数据中心基础设施故障（如电力中断、网络全阻、火灾等）</w:t>
      </w:r>
    </w:p>
    <w:p w14:paraId="4180478C">
      <w:pPr>
        <w:pStyle w:val="39"/>
        <w:numPr>
          <w:ilvl w:val="0"/>
          <w:numId w:val="2"/>
        </w:numPr>
        <w:bidi w:val="0"/>
        <w:ind w:left="425" w:leftChars="0" w:hanging="425" w:firstLineChars="0"/>
        <w:rPr>
          <w:rFonts w:hint="eastAsia"/>
        </w:rPr>
      </w:pPr>
      <w:r>
        <w:rPr>
          <w:rFonts w:hint="eastAsia"/>
        </w:rPr>
        <w:t>大规模硬件故障（服务器、存储、网络设备集群失效）</w:t>
      </w:r>
    </w:p>
    <w:p w14:paraId="026612D4">
      <w:pPr>
        <w:pStyle w:val="39"/>
        <w:numPr>
          <w:ilvl w:val="0"/>
          <w:numId w:val="2"/>
        </w:numPr>
        <w:bidi w:val="0"/>
        <w:ind w:left="425" w:leftChars="0" w:hanging="425" w:firstLineChars="0"/>
        <w:rPr>
          <w:rFonts w:hint="eastAsia"/>
        </w:rPr>
      </w:pPr>
      <w:r>
        <w:rPr>
          <w:rFonts w:hint="eastAsia"/>
        </w:rPr>
        <w:t>重大软件故障或数据损坏导致业务中断</w:t>
      </w:r>
    </w:p>
    <w:p w14:paraId="35137E6A">
      <w:pPr>
        <w:pStyle w:val="39"/>
        <w:numPr>
          <w:ilvl w:val="0"/>
          <w:numId w:val="2"/>
        </w:numPr>
        <w:bidi w:val="0"/>
        <w:ind w:left="425" w:leftChars="0" w:hanging="425" w:firstLineChars="0"/>
        <w:rPr>
          <w:rFonts w:hint="eastAsia"/>
        </w:rPr>
      </w:pPr>
      <w:r>
        <w:rPr>
          <w:rFonts w:hint="eastAsia"/>
        </w:rPr>
        <w:t>其他经应急小组认定为需启动连续性计划的严重事件</w:t>
      </w:r>
    </w:p>
    <w:p w14:paraId="5002C95F">
      <w:pPr>
        <w:pStyle w:val="28"/>
        <w:bidi w:val="0"/>
        <w:rPr>
          <w:rFonts w:hint="eastAsia"/>
        </w:rPr>
      </w:pPr>
      <w:bookmarkStart w:id="5" w:name="_Toc468"/>
      <w:r>
        <w:rPr>
          <w:rFonts w:hint="eastAsia"/>
        </w:rPr>
        <w:t>连续性计划</w:t>
      </w:r>
      <w:bookmarkEnd w:id="5"/>
    </w:p>
    <w:p w14:paraId="05344299">
      <w:pPr>
        <w:pStyle w:val="30"/>
        <w:bidi w:val="0"/>
        <w:rPr>
          <w:rFonts w:hint="eastAsia"/>
        </w:rPr>
      </w:pPr>
      <w:bookmarkStart w:id="6" w:name="_Toc26876"/>
      <w:r>
        <w:rPr>
          <w:rFonts w:hint="eastAsia"/>
        </w:rPr>
        <w:t>计划的执行</w:t>
      </w:r>
      <w:bookmarkEnd w:id="6"/>
    </w:p>
    <w:p w14:paraId="4D5AC966">
      <w:pPr>
        <w:pStyle w:val="31"/>
        <w:bidi w:val="0"/>
        <w:rPr>
          <w:rFonts w:hint="eastAsia"/>
        </w:rPr>
      </w:pPr>
      <w:bookmarkStart w:id="7" w:name="_Toc18091"/>
      <w:r>
        <w:rPr>
          <w:rFonts w:hint="eastAsia"/>
        </w:rPr>
        <w:t>启动恢复计划</w:t>
      </w:r>
      <w:bookmarkEnd w:id="7"/>
    </w:p>
    <w:p w14:paraId="2C1138DC">
      <w:pPr>
        <w:pStyle w:val="29"/>
        <w:bidi w:val="0"/>
        <w:rPr>
          <w:rFonts w:hint="eastAsia"/>
        </w:rPr>
      </w:pPr>
      <w:r>
        <w:drawing>
          <wp:anchor distT="0" distB="0" distL="114300" distR="114300" simplePos="0" relativeHeight="251659264" behindDoc="0" locked="0" layoutInCell="1" allowOverlap="1">
            <wp:simplePos x="0" y="0"/>
            <wp:positionH relativeFrom="column">
              <wp:posOffset>1833880</wp:posOffset>
            </wp:positionH>
            <wp:positionV relativeFrom="paragraph">
              <wp:posOffset>296545</wp:posOffset>
            </wp:positionV>
            <wp:extent cx="2444115" cy="3571240"/>
            <wp:effectExtent l="0" t="0" r="9525" b="1016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444115" cy="3571240"/>
                    </a:xfrm>
                    <a:prstGeom prst="rect">
                      <a:avLst/>
                    </a:prstGeom>
                    <a:noFill/>
                    <a:ln>
                      <a:noFill/>
                    </a:ln>
                  </pic:spPr>
                </pic:pic>
              </a:graphicData>
            </a:graphic>
          </wp:anchor>
        </w:drawing>
      </w:r>
      <w:r>
        <w:rPr>
          <w:rFonts w:hint="eastAsia"/>
        </w:rPr>
        <w:t>当发生可能影响系统连续运行的重大事件时，按以下流程判断并启动本计划：</w:t>
      </w:r>
    </w:p>
    <w:p w14:paraId="7F3B8C03">
      <w:pPr>
        <w:pStyle w:val="29"/>
        <w:bidi w:val="0"/>
        <w:rPr>
          <w:rFonts w:hint="eastAsia"/>
        </w:rPr>
      </w:pPr>
    </w:p>
    <w:p w14:paraId="67AF91F0">
      <w:pPr>
        <w:pStyle w:val="29"/>
        <w:bidi w:val="0"/>
        <w:rPr>
          <w:rFonts w:hint="eastAsia"/>
        </w:rPr>
      </w:pPr>
    </w:p>
    <w:p w14:paraId="1A02543D">
      <w:pPr>
        <w:pStyle w:val="29"/>
        <w:bidi w:val="0"/>
        <w:rPr>
          <w:rFonts w:hint="eastAsia"/>
        </w:rPr>
      </w:pPr>
    </w:p>
    <w:p w14:paraId="72D64D4F">
      <w:pPr>
        <w:pStyle w:val="29"/>
        <w:bidi w:val="0"/>
        <w:rPr>
          <w:rFonts w:hint="eastAsia"/>
        </w:rPr>
      </w:pPr>
    </w:p>
    <w:p w14:paraId="742D1FE0">
      <w:pPr>
        <w:pStyle w:val="29"/>
        <w:bidi w:val="0"/>
        <w:rPr>
          <w:rFonts w:hint="eastAsia"/>
        </w:rPr>
      </w:pPr>
    </w:p>
    <w:p w14:paraId="2B3D1CB7">
      <w:pPr>
        <w:pStyle w:val="29"/>
        <w:bidi w:val="0"/>
        <w:rPr>
          <w:rFonts w:hint="eastAsia"/>
        </w:rPr>
      </w:pPr>
    </w:p>
    <w:p w14:paraId="7C39F33F">
      <w:pPr>
        <w:pStyle w:val="29"/>
        <w:bidi w:val="0"/>
        <w:rPr>
          <w:rFonts w:hint="eastAsia"/>
        </w:rPr>
      </w:pPr>
    </w:p>
    <w:p w14:paraId="4AADD568">
      <w:pPr>
        <w:pStyle w:val="29"/>
        <w:bidi w:val="0"/>
        <w:rPr>
          <w:rFonts w:hint="eastAsia"/>
        </w:rPr>
      </w:pPr>
    </w:p>
    <w:p w14:paraId="3DECA01B">
      <w:pPr>
        <w:pStyle w:val="29"/>
        <w:bidi w:val="0"/>
        <w:rPr>
          <w:rFonts w:hint="eastAsia"/>
        </w:rPr>
      </w:pPr>
    </w:p>
    <w:p w14:paraId="7CBDA4F3">
      <w:pPr>
        <w:pStyle w:val="29"/>
        <w:bidi w:val="0"/>
        <w:ind w:left="0" w:leftChars="0" w:right="0" w:rightChars="0" w:firstLine="0" w:firstLineChars="0"/>
        <w:jc w:val="center"/>
      </w:pPr>
    </w:p>
    <w:p w14:paraId="5A3F6FC3">
      <w:pPr>
        <w:pStyle w:val="31"/>
        <w:bidi w:val="0"/>
        <w:rPr>
          <w:rFonts w:hint="eastAsia"/>
        </w:rPr>
      </w:pPr>
      <w:bookmarkStart w:id="8" w:name="_Toc9819"/>
      <w:r>
        <w:rPr>
          <w:rFonts w:hint="eastAsia"/>
        </w:rPr>
        <w:t>执行过程</w:t>
      </w:r>
      <w:bookmarkEnd w:id="8"/>
    </w:p>
    <w:p w14:paraId="775BCD39">
      <w:pPr>
        <w:pStyle w:val="29"/>
        <w:bidi w:val="0"/>
        <w:rPr>
          <w:rFonts w:hint="eastAsia"/>
        </w:rPr>
      </w:pPr>
      <w:r>
        <w:rPr>
          <w:rFonts w:hint="eastAsia"/>
        </w:rPr>
        <w:t>一旦连续性计划启动，按以下步骤执行：</w:t>
      </w:r>
    </w:p>
    <w:p w14:paraId="3CE81ED3">
      <w:pPr>
        <w:pStyle w:val="29"/>
        <w:bidi w:val="0"/>
        <w:rPr>
          <w:rFonts w:hint="eastAsia"/>
        </w:rPr>
      </w:pPr>
      <w:r>
        <w:rPr>
          <w:rFonts w:hint="eastAsia"/>
        </w:rPr>
        <w:t>成立应急小组：立即成立由项目经理担任总指挥的应急小组，成员包括技术负责人、运维工程师、院方联络人等。</w:t>
      </w:r>
    </w:p>
    <w:p w14:paraId="470F576D">
      <w:pPr>
        <w:pStyle w:val="29"/>
        <w:bidi w:val="0"/>
        <w:rPr>
          <w:rFonts w:hint="eastAsia"/>
        </w:rPr>
      </w:pPr>
      <w:r>
        <w:rPr>
          <w:rFonts w:hint="eastAsia"/>
        </w:rPr>
        <w:t>事件评估与决策：快速判断事件类型与影响范围，明确恢复策略（原地修复、系统切换、数据恢复等）。</w:t>
      </w:r>
    </w:p>
    <w:p w14:paraId="330BF448">
      <w:pPr>
        <w:pStyle w:val="29"/>
        <w:bidi w:val="0"/>
        <w:rPr>
          <w:rFonts w:hint="eastAsia"/>
        </w:rPr>
      </w:pPr>
      <w:r>
        <w:rPr>
          <w:rFonts w:hint="eastAsia"/>
        </w:rPr>
        <w:t>基础设施恢复：如涉及电力、网络、空调等基础设施问题，立即协调相关方维修或启用备用设施。</w:t>
      </w:r>
    </w:p>
    <w:p w14:paraId="0093F675">
      <w:pPr>
        <w:pStyle w:val="29"/>
        <w:bidi w:val="0"/>
        <w:rPr>
          <w:rFonts w:hint="eastAsia"/>
        </w:rPr>
      </w:pPr>
      <w:r>
        <w:rPr>
          <w:rFonts w:hint="eastAsia"/>
        </w:rPr>
        <w:t>硬件替换：从备品备件库调取可用设备，替换故障硬件。</w:t>
      </w:r>
    </w:p>
    <w:p w14:paraId="025E48FD">
      <w:pPr>
        <w:pStyle w:val="29"/>
        <w:bidi w:val="0"/>
        <w:rPr>
          <w:rFonts w:hint="eastAsia"/>
        </w:rPr>
      </w:pPr>
      <w:r>
        <w:rPr>
          <w:rFonts w:hint="eastAsia"/>
        </w:rPr>
        <w:t>软件与数据恢复：使用最近的有效备份恢复系统数据与应用程序。</w:t>
      </w:r>
    </w:p>
    <w:p w14:paraId="6C202F83">
      <w:pPr>
        <w:pStyle w:val="29"/>
        <w:bidi w:val="0"/>
        <w:rPr>
          <w:rFonts w:hint="eastAsia"/>
        </w:rPr>
      </w:pPr>
      <w:r>
        <w:rPr>
          <w:rFonts w:hint="eastAsia"/>
        </w:rPr>
        <w:t>系统重启与测试：恢复后，严格按流程重启系统，并进行核心业务功能验证测试。</w:t>
      </w:r>
    </w:p>
    <w:p w14:paraId="342A6CF5">
      <w:pPr>
        <w:pStyle w:val="29"/>
        <w:bidi w:val="0"/>
        <w:rPr>
          <w:rFonts w:hint="eastAsia"/>
        </w:rPr>
      </w:pPr>
      <w:r>
        <w:rPr>
          <w:rFonts w:hint="eastAsia"/>
        </w:rPr>
        <w:t>业务恢复与观察：确认系统稳定后，逐步恢复业务服务，并密切监控运行状态。</w:t>
      </w:r>
    </w:p>
    <w:p w14:paraId="31A4461D">
      <w:pPr>
        <w:pStyle w:val="31"/>
        <w:bidi w:val="0"/>
        <w:rPr>
          <w:rFonts w:hint="eastAsia"/>
        </w:rPr>
      </w:pPr>
      <w:bookmarkStart w:id="9" w:name="_Toc18055"/>
      <w:r>
        <w:rPr>
          <w:rFonts w:hint="eastAsia"/>
        </w:rPr>
        <w:t>灾难恢复计划表</w:t>
      </w:r>
      <w:bookmarkEnd w:id="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96"/>
        <w:gridCol w:w="4488"/>
        <w:gridCol w:w="1116"/>
        <w:gridCol w:w="2435"/>
      </w:tblGrid>
      <w:tr w14:paraId="5A207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896" w:type="dxa"/>
            <w:shd w:val="clear" w:color="auto" w:fill="auto"/>
            <w:tcMar>
              <w:top w:w="120" w:type="dxa"/>
              <w:left w:w="0" w:type="dxa"/>
              <w:bottom w:w="120" w:type="dxa"/>
              <w:right w:w="192" w:type="dxa"/>
            </w:tcMar>
            <w:vAlign w:val="center"/>
          </w:tcPr>
          <w:p w14:paraId="2618CC48">
            <w:pPr>
              <w:keepNext w:val="0"/>
              <w:keepLines w:val="0"/>
              <w:widowControl/>
              <w:suppressLineNumbers w:val="0"/>
              <w:spacing w:line="300" w:lineRule="atLeast"/>
              <w:ind w:left="0" w:leftChars="0" w:right="0" w:rightChars="0" w:firstLine="0" w:firstLineChars="0"/>
              <w:jc w:val="center"/>
              <w:rPr>
                <w:rFonts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时间目标</w:t>
            </w:r>
          </w:p>
        </w:tc>
        <w:tc>
          <w:tcPr>
            <w:tcW w:w="4488" w:type="dxa"/>
            <w:shd w:val="clear" w:color="auto" w:fill="auto"/>
            <w:tcMar>
              <w:top w:w="120" w:type="dxa"/>
              <w:left w:w="192" w:type="dxa"/>
              <w:bottom w:w="120" w:type="dxa"/>
              <w:right w:w="192" w:type="dxa"/>
            </w:tcMar>
            <w:vAlign w:val="center"/>
          </w:tcPr>
          <w:p w14:paraId="7B95EA0F">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执行内容</w:t>
            </w:r>
          </w:p>
        </w:tc>
        <w:tc>
          <w:tcPr>
            <w:tcW w:w="1116" w:type="dxa"/>
            <w:shd w:val="clear" w:color="auto" w:fill="auto"/>
            <w:tcMar>
              <w:top w:w="120" w:type="dxa"/>
              <w:left w:w="192" w:type="dxa"/>
              <w:bottom w:w="120" w:type="dxa"/>
              <w:right w:w="192" w:type="dxa"/>
            </w:tcMar>
            <w:vAlign w:val="center"/>
          </w:tcPr>
          <w:p w14:paraId="3A2246B5">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负责人</w:t>
            </w:r>
          </w:p>
        </w:tc>
        <w:tc>
          <w:tcPr>
            <w:tcW w:w="0" w:type="auto"/>
            <w:shd w:val="clear" w:color="auto" w:fill="auto"/>
            <w:tcMar>
              <w:top w:w="120" w:type="dxa"/>
              <w:left w:w="192" w:type="dxa"/>
              <w:bottom w:w="120" w:type="dxa"/>
              <w:right w:w="192" w:type="dxa"/>
            </w:tcMar>
            <w:vAlign w:val="center"/>
          </w:tcPr>
          <w:p w14:paraId="3EAF2A24">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关键产出</w:t>
            </w:r>
          </w:p>
        </w:tc>
      </w:tr>
      <w:tr w14:paraId="2E75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896" w:type="dxa"/>
            <w:shd w:val="clear" w:color="auto" w:fill="auto"/>
            <w:tcMar>
              <w:top w:w="120" w:type="dxa"/>
              <w:left w:w="0" w:type="dxa"/>
              <w:bottom w:w="120" w:type="dxa"/>
              <w:right w:w="192" w:type="dxa"/>
            </w:tcMar>
            <w:vAlign w:val="center"/>
          </w:tcPr>
          <w:p w14:paraId="614FA9F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事件发生~30分钟内</w:t>
            </w:r>
          </w:p>
        </w:tc>
        <w:tc>
          <w:tcPr>
            <w:tcW w:w="4488" w:type="dxa"/>
            <w:shd w:val="clear" w:color="auto" w:fill="auto"/>
            <w:tcMar>
              <w:top w:w="120" w:type="dxa"/>
              <w:left w:w="192" w:type="dxa"/>
              <w:bottom w:w="120" w:type="dxa"/>
              <w:right w:w="192" w:type="dxa"/>
            </w:tcMar>
            <w:vAlign w:val="center"/>
          </w:tcPr>
          <w:p w14:paraId="745E46A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确认事件，初步评估，报告应急总指挥，启动连续性计划。</w:t>
            </w:r>
          </w:p>
        </w:tc>
        <w:tc>
          <w:tcPr>
            <w:tcW w:w="1116" w:type="dxa"/>
            <w:shd w:val="clear" w:color="auto" w:fill="auto"/>
            <w:tcMar>
              <w:top w:w="120" w:type="dxa"/>
              <w:left w:w="192" w:type="dxa"/>
              <w:bottom w:w="120" w:type="dxa"/>
              <w:right w:w="192" w:type="dxa"/>
            </w:tcMar>
            <w:vAlign w:val="center"/>
          </w:tcPr>
          <w:p w14:paraId="7C11EB84">
            <w:pPr>
              <w:keepNext w:val="0"/>
              <w:keepLines w:val="0"/>
              <w:widowControl/>
              <w:suppressLineNumbers w:val="0"/>
              <w:spacing w:line="300" w:lineRule="atLeast"/>
              <w:jc w:val="left"/>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运维实施工程师</w:t>
            </w:r>
          </w:p>
        </w:tc>
        <w:tc>
          <w:tcPr>
            <w:tcW w:w="0" w:type="auto"/>
            <w:shd w:val="clear" w:color="auto" w:fill="auto"/>
            <w:tcMar>
              <w:top w:w="120" w:type="dxa"/>
              <w:left w:w="192" w:type="dxa"/>
              <w:bottom w:w="120" w:type="dxa"/>
              <w:right w:w="0" w:type="dxa"/>
            </w:tcMar>
            <w:vAlign w:val="center"/>
          </w:tcPr>
          <w:p w14:paraId="6B9D0DE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事件初步报告</w:t>
            </w:r>
          </w:p>
        </w:tc>
      </w:tr>
      <w:tr w14:paraId="27A48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96" w:type="dxa"/>
            <w:shd w:val="clear" w:color="auto" w:fill="auto"/>
            <w:tcMar>
              <w:top w:w="120" w:type="dxa"/>
              <w:left w:w="0" w:type="dxa"/>
              <w:bottom w:w="120" w:type="dxa"/>
              <w:right w:w="192" w:type="dxa"/>
            </w:tcMar>
            <w:vAlign w:val="center"/>
          </w:tcPr>
          <w:p w14:paraId="28D20FF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30分钟~2小时内</w:t>
            </w:r>
          </w:p>
        </w:tc>
        <w:tc>
          <w:tcPr>
            <w:tcW w:w="4488" w:type="dxa"/>
            <w:shd w:val="clear" w:color="auto" w:fill="auto"/>
            <w:tcMar>
              <w:top w:w="120" w:type="dxa"/>
              <w:left w:w="192" w:type="dxa"/>
              <w:bottom w:w="120" w:type="dxa"/>
              <w:right w:w="192" w:type="dxa"/>
            </w:tcMar>
            <w:vAlign w:val="center"/>
          </w:tcPr>
          <w:p w14:paraId="739C39A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应急小组集结完毕，完成事件定级与影响分析，制定详细恢复方案，通知所有相关人员。</w:t>
            </w:r>
          </w:p>
        </w:tc>
        <w:tc>
          <w:tcPr>
            <w:tcW w:w="1116" w:type="dxa"/>
            <w:shd w:val="clear" w:color="auto" w:fill="auto"/>
            <w:tcMar>
              <w:top w:w="120" w:type="dxa"/>
              <w:left w:w="192" w:type="dxa"/>
              <w:bottom w:w="120" w:type="dxa"/>
              <w:right w:w="192" w:type="dxa"/>
            </w:tcMar>
            <w:vAlign w:val="center"/>
          </w:tcPr>
          <w:p w14:paraId="57541E3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应急总指挥</w:t>
            </w:r>
          </w:p>
        </w:tc>
        <w:tc>
          <w:tcPr>
            <w:tcW w:w="0" w:type="auto"/>
            <w:shd w:val="clear" w:color="auto" w:fill="auto"/>
            <w:tcMar>
              <w:top w:w="120" w:type="dxa"/>
              <w:left w:w="192" w:type="dxa"/>
              <w:bottom w:w="120" w:type="dxa"/>
              <w:right w:w="0" w:type="dxa"/>
            </w:tcMar>
            <w:vAlign w:val="center"/>
          </w:tcPr>
          <w:p w14:paraId="4A8B8DD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《应急响应方案》、通知记录</w:t>
            </w:r>
          </w:p>
        </w:tc>
      </w:tr>
      <w:tr w14:paraId="2938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96" w:type="dxa"/>
            <w:shd w:val="clear" w:color="auto" w:fill="auto"/>
            <w:tcMar>
              <w:top w:w="120" w:type="dxa"/>
              <w:left w:w="0" w:type="dxa"/>
              <w:bottom w:w="120" w:type="dxa"/>
              <w:right w:w="192" w:type="dxa"/>
            </w:tcMar>
            <w:vAlign w:val="center"/>
          </w:tcPr>
          <w:p w14:paraId="34079D7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2小时~4小时内</w:t>
            </w:r>
          </w:p>
        </w:tc>
        <w:tc>
          <w:tcPr>
            <w:tcW w:w="4488" w:type="dxa"/>
            <w:shd w:val="clear" w:color="auto" w:fill="auto"/>
            <w:tcMar>
              <w:top w:w="120" w:type="dxa"/>
              <w:left w:w="192" w:type="dxa"/>
              <w:bottom w:w="120" w:type="dxa"/>
              <w:right w:w="192" w:type="dxa"/>
            </w:tcMar>
            <w:vAlign w:val="center"/>
          </w:tcPr>
          <w:p w14:paraId="49C9CC9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执行恢复操作：基础设施抢修、硬件更换、数据恢复。</w:t>
            </w:r>
          </w:p>
        </w:tc>
        <w:tc>
          <w:tcPr>
            <w:tcW w:w="1116" w:type="dxa"/>
            <w:shd w:val="clear" w:color="auto" w:fill="auto"/>
            <w:tcMar>
              <w:top w:w="120" w:type="dxa"/>
              <w:left w:w="192" w:type="dxa"/>
              <w:bottom w:w="120" w:type="dxa"/>
              <w:right w:w="192" w:type="dxa"/>
            </w:tcMar>
            <w:vAlign w:val="center"/>
          </w:tcPr>
          <w:p w14:paraId="7CD1015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lang w:val="en-US"/>
              </w:rPr>
            </w:pPr>
            <w:r>
              <w:rPr>
                <w:rFonts w:hint="eastAsia" w:ascii="Segoe UI" w:hAnsi="Segoe UI" w:eastAsia="Segoe UI" w:cs="Segoe UI"/>
                <w:i w:val="0"/>
                <w:iCs w:val="0"/>
                <w:caps w:val="0"/>
                <w:snapToGrid w:val="0"/>
                <w:color w:val="000000"/>
                <w:spacing w:val="0"/>
                <w:kern w:val="0"/>
                <w:sz w:val="18"/>
                <w:szCs w:val="18"/>
                <w:lang w:val="en-US" w:eastAsia="zh-CN" w:bidi="ar"/>
              </w:rPr>
              <w:t>运维部经理</w:t>
            </w:r>
          </w:p>
        </w:tc>
        <w:tc>
          <w:tcPr>
            <w:tcW w:w="0" w:type="auto"/>
            <w:shd w:val="clear" w:color="auto" w:fill="auto"/>
            <w:tcMar>
              <w:top w:w="120" w:type="dxa"/>
              <w:left w:w="192" w:type="dxa"/>
              <w:bottom w:w="120" w:type="dxa"/>
              <w:right w:w="0" w:type="dxa"/>
            </w:tcMar>
            <w:vAlign w:val="center"/>
          </w:tcPr>
          <w:p w14:paraId="330204B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恢复操作记录、备份恢复验证报告</w:t>
            </w:r>
          </w:p>
        </w:tc>
      </w:tr>
      <w:tr w14:paraId="3061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96" w:type="dxa"/>
            <w:shd w:val="clear" w:color="auto" w:fill="auto"/>
            <w:tcMar>
              <w:top w:w="120" w:type="dxa"/>
              <w:left w:w="0" w:type="dxa"/>
              <w:bottom w:w="120" w:type="dxa"/>
              <w:right w:w="192" w:type="dxa"/>
            </w:tcMar>
            <w:vAlign w:val="center"/>
          </w:tcPr>
          <w:p w14:paraId="18902D6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4小时~6小时内</w:t>
            </w:r>
          </w:p>
        </w:tc>
        <w:tc>
          <w:tcPr>
            <w:tcW w:w="4488" w:type="dxa"/>
            <w:shd w:val="clear" w:color="auto" w:fill="auto"/>
            <w:tcMar>
              <w:top w:w="120" w:type="dxa"/>
              <w:left w:w="192" w:type="dxa"/>
              <w:bottom w:w="120" w:type="dxa"/>
              <w:right w:w="192" w:type="dxa"/>
            </w:tcMar>
            <w:vAlign w:val="center"/>
          </w:tcPr>
          <w:p w14:paraId="2B13C14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系统重启，完成核心业务（挂号、缴费、结算）功能测试。</w:t>
            </w:r>
          </w:p>
        </w:tc>
        <w:tc>
          <w:tcPr>
            <w:tcW w:w="1116" w:type="dxa"/>
            <w:shd w:val="clear" w:color="auto" w:fill="auto"/>
            <w:tcMar>
              <w:top w:w="120" w:type="dxa"/>
              <w:left w:w="192" w:type="dxa"/>
              <w:bottom w:w="120" w:type="dxa"/>
              <w:right w:w="192" w:type="dxa"/>
            </w:tcMar>
            <w:vAlign w:val="center"/>
          </w:tcPr>
          <w:p w14:paraId="49EE487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运维团队</w:t>
            </w:r>
          </w:p>
        </w:tc>
        <w:tc>
          <w:tcPr>
            <w:tcW w:w="0" w:type="auto"/>
            <w:shd w:val="clear" w:color="auto" w:fill="auto"/>
            <w:tcMar>
              <w:top w:w="120" w:type="dxa"/>
              <w:left w:w="192" w:type="dxa"/>
              <w:bottom w:w="120" w:type="dxa"/>
              <w:right w:w="0" w:type="dxa"/>
            </w:tcMar>
            <w:vAlign w:val="center"/>
          </w:tcPr>
          <w:p w14:paraId="4198471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《系统恢复测试报告》</w:t>
            </w:r>
          </w:p>
        </w:tc>
      </w:tr>
      <w:tr w14:paraId="253A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896" w:type="dxa"/>
            <w:shd w:val="clear" w:color="auto" w:fill="auto"/>
            <w:tcMar>
              <w:top w:w="120" w:type="dxa"/>
              <w:left w:w="0" w:type="dxa"/>
              <w:bottom w:w="120" w:type="dxa"/>
              <w:right w:w="192" w:type="dxa"/>
            </w:tcMar>
            <w:vAlign w:val="center"/>
          </w:tcPr>
          <w:p w14:paraId="5C413DE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6小时~8小时内</w:t>
            </w:r>
          </w:p>
        </w:tc>
        <w:tc>
          <w:tcPr>
            <w:tcW w:w="4488" w:type="dxa"/>
            <w:shd w:val="clear" w:color="auto" w:fill="auto"/>
            <w:tcMar>
              <w:top w:w="120" w:type="dxa"/>
              <w:left w:w="192" w:type="dxa"/>
              <w:bottom w:w="120" w:type="dxa"/>
              <w:right w:w="192" w:type="dxa"/>
            </w:tcMar>
            <w:vAlign w:val="center"/>
          </w:tcPr>
          <w:p w14:paraId="6309F56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业务全面恢复，系统进入观察期，编写事件初步报告。</w:t>
            </w:r>
          </w:p>
        </w:tc>
        <w:tc>
          <w:tcPr>
            <w:tcW w:w="1116" w:type="dxa"/>
            <w:shd w:val="clear" w:color="auto" w:fill="auto"/>
            <w:tcMar>
              <w:top w:w="120" w:type="dxa"/>
              <w:left w:w="192" w:type="dxa"/>
              <w:bottom w:w="120" w:type="dxa"/>
              <w:right w:w="192" w:type="dxa"/>
            </w:tcMar>
            <w:vAlign w:val="center"/>
          </w:tcPr>
          <w:p w14:paraId="648F4B3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应急总指挥</w:t>
            </w:r>
          </w:p>
        </w:tc>
        <w:tc>
          <w:tcPr>
            <w:tcW w:w="0" w:type="auto"/>
            <w:shd w:val="clear" w:color="auto" w:fill="auto"/>
            <w:tcMar>
              <w:top w:w="120" w:type="dxa"/>
              <w:left w:w="192" w:type="dxa"/>
              <w:bottom w:w="120" w:type="dxa"/>
              <w:right w:w="0" w:type="dxa"/>
            </w:tcMar>
            <w:vAlign w:val="center"/>
          </w:tcPr>
          <w:p w14:paraId="71A7307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《业务恢复确认单》、《事件初步报告》</w:t>
            </w:r>
          </w:p>
        </w:tc>
      </w:tr>
    </w:tbl>
    <w:p w14:paraId="12488594">
      <w:pPr>
        <w:pStyle w:val="30"/>
        <w:bidi w:val="0"/>
        <w:rPr>
          <w:rFonts w:hint="eastAsia"/>
        </w:rPr>
      </w:pPr>
      <w:bookmarkStart w:id="10" w:name="_Toc27644"/>
      <w:r>
        <w:rPr>
          <w:rFonts w:hint="eastAsia"/>
        </w:rPr>
        <w:t>连续性维护内容</w:t>
      </w:r>
      <w:bookmarkEnd w:id="10"/>
    </w:p>
    <w:p w14:paraId="26DDB10D">
      <w:pPr>
        <w:pStyle w:val="31"/>
        <w:bidi w:val="0"/>
        <w:rPr>
          <w:rFonts w:hint="eastAsia"/>
        </w:rPr>
      </w:pPr>
      <w:bookmarkStart w:id="11" w:name="_Toc24227"/>
      <w:r>
        <w:rPr>
          <w:rFonts w:hint="eastAsia"/>
        </w:rPr>
        <w:t>日常维护</w:t>
      </w:r>
      <w:bookmarkEnd w:id="11"/>
    </w:p>
    <w:p w14:paraId="3B6B80B5">
      <w:pPr>
        <w:pStyle w:val="29"/>
        <w:rPr>
          <w:rFonts w:hint="eastAsia"/>
        </w:rPr>
      </w:pPr>
      <w:r>
        <w:rPr>
          <w:rFonts w:hint="eastAsia"/>
        </w:rPr>
        <w:t>确保备用环境（如有）的操作系统、数据库、中间件与生产环境保持版本兼容。</w:t>
      </w:r>
    </w:p>
    <w:p w14:paraId="347C9B74">
      <w:pPr>
        <w:pStyle w:val="29"/>
        <w:rPr>
          <w:rFonts w:hint="eastAsia"/>
        </w:rPr>
      </w:pPr>
      <w:r>
        <w:rPr>
          <w:rFonts w:hint="eastAsia"/>
        </w:rPr>
        <w:t>定期对生产及备用系统进行安全加固、漏洞扫描与日志清理。</w:t>
      </w:r>
    </w:p>
    <w:p w14:paraId="4D14BD2F">
      <w:pPr>
        <w:pStyle w:val="29"/>
        <w:rPr>
          <w:rFonts w:hint="eastAsia"/>
        </w:rPr>
      </w:pPr>
      <w:r>
        <w:rPr>
          <w:rFonts w:hint="eastAsia"/>
        </w:rPr>
        <w:t>定期检查服务器硬件健康状况，清理冗余数据与临时文件。</w:t>
      </w:r>
    </w:p>
    <w:p w14:paraId="552931B8">
      <w:pPr>
        <w:pStyle w:val="31"/>
        <w:bidi w:val="0"/>
        <w:rPr>
          <w:rFonts w:hint="eastAsia"/>
        </w:rPr>
      </w:pPr>
      <w:bookmarkStart w:id="12" w:name="_Toc16074"/>
      <w:r>
        <w:rPr>
          <w:rFonts w:hint="eastAsia"/>
        </w:rPr>
        <w:t>人员储备计划</w:t>
      </w:r>
      <w:bookmarkEnd w:id="12"/>
    </w:p>
    <w:p w14:paraId="5CFDB55A">
      <w:pPr>
        <w:pStyle w:val="29"/>
        <w:rPr>
          <w:rFonts w:hint="eastAsia"/>
        </w:rPr>
      </w:pPr>
      <w:r>
        <w:rPr>
          <w:rFonts w:hint="eastAsia"/>
        </w:rPr>
        <w:t>为确保关键岗位不空缺，项目核心系统运维人员配备要求如下：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28"/>
        <w:gridCol w:w="1288"/>
        <w:gridCol w:w="1464"/>
        <w:gridCol w:w="4157"/>
      </w:tblGrid>
      <w:tr w14:paraId="4DBDE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7FA99AA0">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关键系统/模块名称</w:t>
            </w:r>
          </w:p>
        </w:tc>
        <w:tc>
          <w:tcPr>
            <w:tcW w:w="0" w:type="auto"/>
            <w:shd w:val="clear" w:color="auto" w:fill="auto"/>
            <w:tcMar>
              <w:top w:w="120" w:type="dxa"/>
              <w:left w:w="192" w:type="dxa"/>
              <w:bottom w:w="120" w:type="dxa"/>
              <w:right w:w="192" w:type="dxa"/>
            </w:tcMar>
            <w:vAlign w:val="center"/>
          </w:tcPr>
          <w:p w14:paraId="5DF0B48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第一责任人</w:t>
            </w:r>
          </w:p>
        </w:tc>
        <w:tc>
          <w:tcPr>
            <w:tcW w:w="0" w:type="auto"/>
            <w:shd w:val="clear" w:color="auto" w:fill="auto"/>
            <w:tcMar>
              <w:top w:w="120" w:type="dxa"/>
              <w:left w:w="192" w:type="dxa"/>
              <w:bottom w:w="120" w:type="dxa"/>
              <w:right w:w="192" w:type="dxa"/>
            </w:tcMar>
            <w:vAlign w:val="center"/>
          </w:tcPr>
          <w:p w14:paraId="2B34EC7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第二责任人</w:t>
            </w:r>
          </w:p>
        </w:tc>
        <w:tc>
          <w:tcPr>
            <w:tcW w:w="0" w:type="auto"/>
            <w:shd w:val="clear" w:color="auto" w:fill="auto"/>
            <w:tcMar>
              <w:top w:w="120" w:type="dxa"/>
              <w:left w:w="192" w:type="dxa"/>
              <w:bottom w:w="120" w:type="dxa"/>
              <w:right w:w="192" w:type="dxa"/>
            </w:tcMar>
            <w:vAlign w:val="center"/>
          </w:tcPr>
          <w:p w14:paraId="0CE356E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主要职责</w:t>
            </w:r>
          </w:p>
        </w:tc>
      </w:tr>
      <w:tr w14:paraId="05A96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BF0AF4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整体项目管理与应急总指挥</w:t>
            </w:r>
          </w:p>
        </w:tc>
        <w:tc>
          <w:tcPr>
            <w:tcW w:w="0" w:type="auto"/>
            <w:shd w:val="clear" w:color="auto" w:fill="auto"/>
            <w:tcMar>
              <w:top w:w="120" w:type="dxa"/>
              <w:left w:w="192" w:type="dxa"/>
              <w:bottom w:w="120" w:type="dxa"/>
              <w:right w:w="192" w:type="dxa"/>
            </w:tcMar>
            <w:vAlign w:val="center"/>
          </w:tcPr>
          <w:p w14:paraId="1563824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胡葛鹏宇</w:t>
            </w:r>
          </w:p>
        </w:tc>
        <w:tc>
          <w:tcPr>
            <w:tcW w:w="0" w:type="auto"/>
            <w:shd w:val="clear" w:color="auto" w:fill="auto"/>
            <w:tcMar>
              <w:top w:w="120" w:type="dxa"/>
              <w:left w:w="192" w:type="dxa"/>
              <w:bottom w:w="120" w:type="dxa"/>
              <w:right w:w="192" w:type="dxa"/>
            </w:tcMar>
            <w:vAlign w:val="center"/>
          </w:tcPr>
          <w:p w14:paraId="7D0A523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黄益溪</w:t>
            </w:r>
          </w:p>
        </w:tc>
        <w:tc>
          <w:tcPr>
            <w:tcW w:w="0" w:type="auto"/>
            <w:shd w:val="clear" w:color="auto" w:fill="auto"/>
            <w:tcMar>
              <w:top w:w="120" w:type="dxa"/>
              <w:left w:w="192" w:type="dxa"/>
              <w:bottom w:w="120" w:type="dxa"/>
              <w:right w:w="0" w:type="dxa"/>
            </w:tcMar>
            <w:vAlign w:val="center"/>
          </w:tcPr>
          <w:p w14:paraId="3F4A0EA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负责连续性计划的启动、决策与整体协调</w:t>
            </w:r>
          </w:p>
        </w:tc>
      </w:tr>
      <w:tr w14:paraId="5354E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ECA301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自助终端系统（门诊/住院）</w:t>
            </w:r>
          </w:p>
        </w:tc>
        <w:tc>
          <w:tcPr>
            <w:tcW w:w="0" w:type="auto"/>
            <w:shd w:val="clear" w:color="auto" w:fill="auto"/>
            <w:tcMar>
              <w:top w:w="120" w:type="dxa"/>
              <w:left w:w="192" w:type="dxa"/>
              <w:bottom w:w="120" w:type="dxa"/>
              <w:right w:w="192" w:type="dxa"/>
            </w:tcMar>
            <w:vAlign w:val="center"/>
          </w:tcPr>
          <w:p w14:paraId="447B192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金文莉</w:t>
            </w:r>
          </w:p>
        </w:tc>
        <w:tc>
          <w:tcPr>
            <w:tcW w:w="0" w:type="auto"/>
            <w:shd w:val="clear" w:color="auto" w:fill="auto"/>
            <w:tcMar>
              <w:top w:w="120" w:type="dxa"/>
              <w:left w:w="192" w:type="dxa"/>
              <w:bottom w:w="120" w:type="dxa"/>
              <w:right w:w="192" w:type="dxa"/>
            </w:tcMar>
            <w:vAlign w:val="center"/>
          </w:tcPr>
          <w:p w14:paraId="0E30060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游天舒</w:t>
            </w:r>
          </w:p>
        </w:tc>
        <w:tc>
          <w:tcPr>
            <w:tcW w:w="0" w:type="auto"/>
            <w:shd w:val="clear" w:color="auto" w:fill="auto"/>
            <w:tcMar>
              <w:top w:w="120" w:type="dxa"/>
              <w:left w:w="192" w:type="dxa"/>
              <w:bottom w:w="120" w:type="dxa"/>
              <w:right w:w="0" w:type="dxa"/>
            </w:tcMar>
            <w:vAlign w:val="center"/>
          </w:tcPr>
          <w:p w14:paraId="7E04F15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负责终端硬件、应用故障的排查与恢复</w:t>
            </w:r>
          </w:p>
        </w:tc>
      </w:tr>
      <w:tr w14:paraId="06B75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2E02E4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诊间支付结算系统</w:t>
            </w:r>
          </w:p>
        </w:tc>
        <w:tc>
          <w:tcPr>
            <w:tcW w:w="0" w:type="auto"/>
            <w:shd w:val="clear" w:color="auto" w:fill="auto"/>
            <w:tcMar>
              <w:top w:w="120" w:type="dxa"/>
              <w:left w:w="192" w:type="dxa"/>
              <w:bottom w:w="120" w:type="dxa"/>
              <w:right w:w="192" w:type="dxa"/>
            </w:tcMar>
            <w:vAlign w:val="center"/>
          </w:tcPr>
          <w:p w14:paraId="4C1FF38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游天舒</w:t>
            </w:r>
          </w:p>
        </w:tc>
        <w:tc>
          <w:tcPr>
            <w:tcW w:w="0" w:type="auto"/>
            <w:shd w:val="clear" w:color="auto" w:fill="auto"/>
            <w:tcMar>
              <w:top w:w="120" w:type="dxa"/>
              <w:left w:w="192" w:type="dxa"/>
              <w:bottom w:w="120" w:type="dxa"/>
              <w:right w:w="192" w:type="dxa"/>
            </w:tcMar>
            <w:vAlign w:val="center"/>
          </w:tcPr>
          <w:p w14:paraId="0597C78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金文莉</w:t>
            </w:r>
          </w:p>
        </w:tc>
        <w:tc>
          <w:tcPr>
            <w:tcW w:w="0" w:type="auto"/>
            <w:shd w:val="clear" w:color="auto" w:fill="auto"/>
            <w:tcMar>
              <w:top w:w="120" w:type="dxa"/>
              <w:left w:w="192" w:type="dxa"/>
              <w:bottom w:w="120" w:type="dxa"/>
              <w:right w:w="0" w:type="dxa"/>
            </w:tcMar>
            <w:vAlign w:val="center"/>
          </w:tcPr>
          <w:p w14:paraId="24445E6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负责支付链路、接口服务、数据一致性的恢复</w:t>
            </w:r>
          </w:p>
        </w:tc>
      </w:tr>
      <w:tr w14:paraId="42857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DE162F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基础设施与网络</w:t>
            </w:r>
          </w:p>
        </w:tc>
        <w:tc>
          <w:tcPr>
            <w:tcW w:w="0" w:type="auto"/>
            <w:shd w:val="clear" w:color="auto" w:fill="auto"/>
            <w:tcMar>
              <w:top w:w="120" w:type="dxa"/>
              <w:left w:w="192" w:type="dxa"/>
              <w:bottom w:w="120" w:type="dxa"/>
              <w:right w:w="192" w:type="dxa"/>
            </w:tcMar>
            <w:vAlign w:val="center"/>
          </w:tcPr>
          <w:p w14:paraId="3A9C5B4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胡葛鹏宇</w:t>
            </w:r>
          </w:p>
        </w:tc>
        <w:tc>
          <w:tcPr>
            <w:tcW w:w="0" w:type="auto"/>
            <w:shd w:val="clear" w:color="auto" w:fill="auto"/>
            <w:tcMar>
              <w:top w:w="120" w:type="dxa"/>
              <w:left w:w="192" w:type="dxa"/>
              <w:bottom w:w="120" w:type="dxa"/>
              <w:right w:w="192" w:type="dxa"/>
            </w:tcMar>
            <w:vAlign w:val="center"/>
          </w:tcPr>
          <w:p w14:paraId="4205A06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（外协支持）</w:t>
            </w:r>
          </w:p>
        </w:tc>
        <w:tc>
          <w:tcPr>
            <w:tcW w:w="0" w:type="auto"/>
            <w:shd w:val="clear" w:color="auto" w:fill="auto"/>
            <w:tcMar>
              <w:top w:w="120" w:type="dxa"/>
              <w:left w:w="192" w:type="dxa"/>
              <w:bottom w:w="120" w:type="dxa"/>
              <w:right w:w="0" w:type="dxa"/>
            </w:tcMar>
            <w:vAlign w:val="center"/>
          </w:tcPr>
          <w:p w14:paraId="4AC4C9E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负责服务器、网络、电力等基础环境的保障与恢复</w:t>
            </w:r>
          </w:p>
        </w:tc>
      </w:tr>
    </w:tbl>
    <w:p w14:paraId="3EC758D2">
      <w:pPr>
        <w:pStyle w:val="29"/>
        <w:rPr>
          <w:rFonts w:hint="eastAsia"/>
        </w:rPr>
      </w:pPr>
      <w:r>
        <w:rPr>
          <w:rFonts w:hint="eastAsia"/>
        </w:rPr>
        <w:t>要求： 各关键系统必须保证至少有一名主责人员与一名备份人员。若人员配备不足，应立即启动《招聘管理制度》进行补员。</w:t>
      </w:r>
    </w:p>
    <w:p w14:paraId="25164787">
      <w:pPr>
        <w:pStyle w:val="31"/>
        <w:bidi w:val="0"/>
        <w:rPr>
          <w:rFonts w:hint="eastAsia"/>
        </w:rPr>
      </w:pPr>
      <w:bookmarkStart w:id="13" w:name="_Toc4721"/>
      <w:r>
        <w:rPr>
          <w:rFonts w:hint="eastAsia"/>
        </w:rPr>
        <w:t>备用数据</w:t>
      </w:r>
      <w:bookmarkEnd w:id="13"/>
    </w:p>
    <w:p w14:paraId="3E4F5892">
      <w:pPr>
        <w:pStyle w:val="29"/>
        <w:rPr>
          <w:rFonts w:hint="eastAsia"/>
        </w:rPr>
      </w:pPr>
      <w:r>
        <w:rPr>
          <w:rFonts w:hint="eastAsia"/>
        </w:rPr>
        <w:t>备份策略：对核心业务数据（用户交易、结算记录、配置信息）实行每日全量备份与实时增量备份。</w:t>
      </w:r>
    </w:p>
    <w:p w14:paraId="27840AC0">
      <w:pPr>
        <w:pStyle w:val="29"/>
        <w:rPr>
          <w:rFonts w:hint="eastAsia"/>
        </w:rPr>
      </w:pPr>
      <w:r>
        <w:rPr>
          <w:rFonts w:hint="eastAsia"/>
        </w:rPr>
        <w:t>存储与安全：备份数据在本地存储的同时，需加密传输并异地保存一份，确保物理隔离。</w:t>
      </w:r>
    </w:p>
    <w:p w14:paraId="4E1B937E">
      <w:pPr>
        <w:pStyle w:val="29"/>
        <w:rPr>
          <w:rFonts w:hint="eastAsia"/>
        </w:rPr>
      </w:pPr>
      <w:r>
        <w:rPr>
          <w:rFonts w:hint="eastAsia"/>
        </w:rPr>
        <w:t>恢复验证：进行备份数据的恢复测试，验证备份数据的完整性与可恢复性，并记录测试报告。</w:t>
      </w:r>
    </w:p>
    <w:p w14:paraId="58706B1E">
      <w:pPr>
        <w:pStyle w:val="31"/>
        <w:bidi w:val="0"/>
        <w:rPr>
          <w:rFonts w:hint="eastAsia"/>
        </w:rPr>
      </w:pPr>
      <w:bookmarkStart w:id="14" w:name="_Toc9691"/>
      <w:r>
        <w:rPr>
          <w:rFonts w:hint="eastAsia"/>
        </w:rPr>
        <w:t>计划测试</w:t>
      </w:r>
      <w:bookmarkEnd w:id="14"/>
    </w:p>
    <w:p w14:paraId="4635C21F">
      <w:pPr>
        <w:pStyle w:val="29"/>
        <w:rPr>
          <w:rFonts w:hint="eastAsia"/>
        </w:rPr>
      </w:pPr>
      <w:r>
        <w:rPr>
          <w:rFonts w:hint="eastAsia"/>
        </w:rPr>
        <w:t>测试频率：每年至少组织一次综合性“智慧银医”项目业务连续性演练。</w:t>
      </w:r>
    </w:p>
    <w:p w14:paraId="62150A6C">
      <w:pPr>
        <w:pStyle w:val="29"/>
        <w:rPr>
          <w:rFonts w:hint="eastAsia"/>
        </w:rPr>
      </w:pPr>
      <w:r>
        <w:rPr>
          <w:rFonts w:hint="eastAsia"/>
        </w:rPr>
        <w:t>测试形式：可采用桌面推演、模拟故障、部分系统切换等不同形式，每次选择不同主题（如：数据中心网络中断、核心数据库损坏、支付服务集群故障等）。</w:t>
      </w:r>
    </w:p>
    <w:p w14:paraId="1CCFC575">
      <w:pPr>
        <w:pStyle w:val="29"/>
        <w:rPr>
          <w:rFonts w:hint="eastAsia"/>
        </w:rPr>
      </w:pPr>
      <w:r>
        <w:rPr>
          <w:rFonts w:hint="eastAsia"/>
        </w:rPr>
        <w:t>流程：演练计划需报公司管理层及院方相关负责人批准后实施。演练过程需详细记录，演练结束后需形成《连续性演练总结报告》，分析不足并制定改进措施，由质量部备案。</w:t>
      </w:r>
    </w:p>
    <w:p w14:paraId="18E07A2D">
      <w:pPr>
        <w:pStyle w:val="31"/>
        <w:bidi w:val="0"/>
        <w:rPr>
          <w:rFonts w:hint="eastAsia"/>
        </w:rPr>
      </w:pPr>
      <w:bookmarkStart w:id="15" w:name="_Toc16496"/>
      <w:r>
        <w:rPr>
          <w:rFonts w:hint="eastAsia"/>
        </w:rPr>
        <w:t>计划的培训</w:t>
      </w:r>
      <w:bookmarkEnd w:id="15"/>
    </w:p>
    <w:p w14:paraId="7CE78E9B">
      <w:pPr>
        <w:pStyle w:val="29"/>
        <w:rPr>
          <w:rFonts w:hint="eastAsia"/>
        </w:rPr>
      </w:pPr>
      <w:r>
        <w:rPr>
          <w:rFonts w:hint="eastAsia"/>
        </w:rPr>
        <w:t>全员培训：本连续性计划必须对项目组全体成员（包括运维、开发、管理）进行培训，确保人人知晓流程与职责。</w:t>
      </w:r>
    </w:p>
    <w:p w14:paraId="5EBCF6DD">
      <w:pPr>
        <w:pStyle w:val="29"/>
        <w:rPr>
          <w:rFonts w:hint="eastAsia"/>
        </w:rPr>
      </w:pPr>
      <w:r>
        <w:rPr>
          <w:rFonts w:hint="eastAsia"/>
        </w:rPr>
        <w:t>新员工培训：新入职员工须在入职</w:t>
      </w:r>
      <w:r>
        <w:rPr>
          <w:rFonts w:hint="eastAsia"/>
          <w:lang w:val="en-US" w:eastAsia="zh-CN"/>
        </w:rPr>
        <w:t>后</w:t>
      </w:r>
      <w:r>
        <w:rPr>
          <w:rFonts w:hint="eastAsia"/>
        </w:rPr>
        <w:t>接受本计划的专项培训。</w:t>
      </w:r>
    </w:p>
    <w:p w14:paraId="6D688596">
      <w:pPr>
        <w:pStyle w:val="29"/>
        <w:rPr>
          <w:rFonts w:hint="eastAsia"/>
        </w:rPr>
      </w:pPr>
      <w:r>
        <w:rPr>
          <w:rFonts w:hint="eastAsia"/>
        </w:rPr>
        <w:t>更新培训：当本计划发生重大修订后，须在两周内组织相关人员进行再培训。</w:t>
      </w:r>
    </w:p>
    <w:p w14:paraId="57B686E6">
      <w:pPr>
        <w:pStyle w:val="29"/>
        <w:rPr>
          <w:rFonts w:hint="eastAsia"/>
        </w:rPr>
      </w:pPr>
      <w:r>
        <w:rPr>
          <w:rFonts w:hint="eastAsia"/>
        </w:rPr>
        <w:t>培训记录：所有培训需保存签到表、培训材料及考核记录。</w:t>
      </w:r>
      <w:bookmarkStart w:id="16" w:name="_GoBack"/>
      <w:bookmarkEnd w:id="16"/>
    </w:p>
    <w:sectPr>
      <w:pgSz w:w="11906" w:h="16838"/>
      <w:pgMar w:top="1431" w:right="1076" w:bottom="1547" w:left="1087"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F118E2F"/>
    <w:multiLevelType w:val="singleLevel"/>
    <w:tmpl w:val="FF118E2F"/>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F4690B"/>
    <w:rsid w:val="02CB1CF7"/>
    <w:rsid w:val="02E34C6C"/>
    <w:rsid w:val="03006561"/>
    <w:rsid w:val="04893C18"/>
    <w:rsid w:val="052120A3"/>
    <w:rsid w:val="061340E1"/>
    <w:rsid w:val="07886409"/>
    <w:rsid w:val="07DA3499"/>
    <w:rsid w:val="082B6007"/>
    <w:rsid w:val="09544EEC"/>
    <w:rsid w:val="0A0E46B5"/>
    <w:rsid w:val="0AFA5870"/>
    <w:rsid w:val="0B310B66"/>
    <w:rsid w:val="0B3F3282"/>
    <w:rsid w:val="0D0C53E6"/>
    <w:rsid w:val="0D4A3D75"/>
    <w:rsid w:val="0D926342"/>
    <w:rsid w:val="0F1A70F4"/>
    <w:rsid w:val="0F812D1C"/>
    <w:rsid w:val="104B4477"/>
    <w:rsid w:val="10546985"/>
    <w:rsid w:val="115212C0"/>
    <w:rsid w:val="12922832"/>
    <w:rsid w:val="13051255"/>
    <w:rsid w:val="13655850"/>
    <w:rsid w:val="145A4152"/>
    <w:rsid w:val="14A97970"/>
    <w:rsid w:val="1BEC6B0F"/>
    <w:rsid w:val="1CF33ECD"/>
    <w:rsid w:val="1D7C0366"/>
    <w:rsid w:val="213F4A27"/>
    <w:rsid w:val="21A25EC1"/>
    <w:rsid w:val="22521696"/>
    <w:rsid w:val="22BD24AF"/>
    <w:rsid w:val="25897AC4"/>
    <w:rsid w:val="26D66D39"/>
    <w:rsid w:val="27201D62"/>
    <w:rsid w:val="288D5911"/>
    <w:rsid w:val="2B0F45C8"/>
    <w:rsid w:val="2DA45930"/>
    <w:rsid w:val="2DE81100"/>
    <w:rsid w:val="2E982B26"/>
    <w:rsid w:val="32384404"/>
    <w:rsid w:val="337C6572"/>
    <w:rsid w:val="34772C5D"/>
    <w:rsid w:val="348E2A01"/>
    <w:rsid w:val="3524513E"/>
    <w:rsid w:val="36070CBD"/>
    <w:rsid w:val="36D87F64"/>
    <w:rsid w:val="36DD557A"/>
    <w:rsid w:val="36FB1EA4"/>
    <w:rsid w:val="384B29B7"/>
    <w:rsid w:val="386D5023"/>
    <w:rsid w:val="38D702E8"/>
    <w:rsid w:val="3B78389E"/>
    <w:rsid w:val="3C182049"/>
    <w:rsid w:val="3D811329"/>
    <w:rsid w:val="426A15A9"/>
    <w:rsid w:val="449A71A0"/>
    <w:rsid w:val="45AF0A29"/>
    <w:rsid w:val="45CF69D6"/>
    <w:rsid w:val="499441BE"/>
    <w:rsid w:val="4BDF1724"/>
    <w:rsid w:val="4DFC4A28"/>
    <w:rsid w:val="50615016"/>
    <w:rsid w:val="50B64A0A"/>
    <w:rsid w:val="51624BA2"/>
    <w:rsid w:val="526E7576"/>
    <w:rsid w:val="52946FDD"/>
    <w:rsid w:val="52C5363A"/>
    <w:rsid w:val="53A21BCD"/>
    <w:rsid w:val="58B24108"/>
    <w:rsid w:val="591F15CA"/>
    <w:rsid w:val="5A1530F9"/>
    <w:rsid w:val="5A53129F"/>
    <w:rsid w:val="5BF705DC"/>
    <w:rsid w:val="5F6B3CB5"/>
    <w:rsid w:val="5F906D7E"/>
    <w:rsid w:val="60097209"/>
    <w:rsid w:val="60E76E71"/>
    <w:rsid w:val="618E4F17"/>
    <w:rsid w:val="631A3B5D"/>
    <w:rsid w:val="64264155"/>
    <w:rsid w:val="67D50992"/>
    <w:rsid w:val="67FF35A1"/>
    <w:rsid w:val="69E00902"/>
    <w:rsid w:val="6BD34BC2"/>
    <w:rsid w:val="6CE36ED1"/>
    <w:rsid w:val="6E443B55"/>
    <w:rsid w:val="6EF32E85"/>
    <w:rsid w:val="6EF72976"/>
    <w:rsid w:val="714B13A0"/>
    <w:rsid w:val="72B648F6"/>
    <w:rsid w:val="73520AC2"/>
    <w:rsid w:val="741C69DA"/>
    <w:rsid w:val="76962A74"/>
    <w:rsid w:val="76A2766B"/>
    <w:rsid w:val="77112A42"/>
    <w:rsid w:val="77AE0952"/>
    <w:rsid w:val="77AE203F"/>
    <w:rsid w:val="77F64623"/>
    <w:rsid w:val="7B0501C8"/>
    <w:rsid w:val="7CFE75C5"/>
    <w:rsid w:val="7D1F3732"/>
    <w:rsid w:val="7E490D14"/>
    <w:rsid w:val="7FAF1E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19"/>
    <w:qFormat/>
    <w:uiPriority w:val="0"/>
    <w:pPr>
      <w:spacing w:after="900" w:afterLines="900"/>
    </w:pPr>
    <w:rPr>
      <w:rFonts w:ascii="黑体" w:hAnsi="黑体" w:eastAsia="黑体" w:cs="黑体"/>
      <w:bCs/>
      <w:spacing w:val="-7"/>
      <w:sz w:val="52"/>
      <w:szCs w:val="52"/>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1"/>
    <w:semiHidden/>
    <w:unhideWhenUsed/>
    <w:qFormat/>
    <w:uiPriority w:val="0"/>
    <w:tblPr>
      <w:tblCellMar>
        <w:top w:w="0" w:type="dxa"/>
        <w:left w:w="0" w:type="dxa"/>
        <w:bottom w:w="0" w:type="dxa"/>
        <w:right w:w="0" w:type="dxa"/>
      </w:tblCellMar>
    </w:tblPr>
  </w:style>
  <w:style w:type="table" w:customStyle="1" w:styleId="4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1954</Words>
  <Characters>2047</Characters>
  <Lines>0</Lines>
  <Paragraphs>0</Paragraphs>
  <TotalTime>1</TotalTime>
  <ScaleCrop>false</ScaleCrop>
  <LinksUpToDate>false</LinksUpToDate>
  <CharactersWithSpaces>2110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2025-08-21T09:28:00Z</dcterms:created>
  <dc:creator>18442</dc:creator>
  <cp:lastModifiedBy>nancy杨茜</cp:lastModifiedBy>
  <dcterms:modified xsi:type="dcterms:W3CDTF">2026-01-07T12:24:19Z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2025-08-21T14:29:57Z</vt:filetime>
  </property>
  <property fmtid="{D5CDD505-2E9C-101B-9397-08002B2CF9AE}" pid="3" name="CRO">
    <vt:lpwstr>wqlLaW5nc29mdCBQREYgdG8gV1BTIDExNQ</vt:lpwstr>
  </property>
  <property fmtid="{D5CDD505-2E9C-101B-9397-08002B2CF9AE}" pid="4" name="ICV">
    <vt:lpwstr>03FC1D43EDCA4F5BBA17BEC7C57D6B1F_12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