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C1517">
      <w:pPr>
        <w:spacing w:line="360" w:lineRule="auto"/>
        <w:rPr>
          <w:rFonts w:ascii="Arial"/>
          <w:sz w:val="21"/>
        </w:rPr>
      </w:pPr>
    </w:p>
    <w:p w14:paraId="2BF45400">
      <w:pPr>
        <w:spacing w:before="101" w:line="223" w:lineRule="auto"/>
        <w:ind w:left="3233"/>
        <w:outlineLvl w:val="0"/>
        <w:rPr>
          <w:rFonts w:hint="default" w:ascii="宋体" w:hAnsi="宋体" w:eastAsia="宋体" w:cs="宋体"/>
          <w:sz w:val="31"/>
          <w:szCs w:val="31"/>
          <w:lang w:val="en-US" w:eastAsia="zh-CN"/>
        </w:rPr>
      </w:pPr>
      <w:r>
        <w:rPr>
          <w:rFonts w:hint="eastAsia" w:ascii="宋体" w:hAnsi="宋体" w:cs="宋体"/>
          <w:b/>
          <w:bCs/>
          <w:spacing w:val="6"/>
          <w:sz w:val="31"/>
          <w:szCs w:val="31"/>
          <w:lang w:val="en-US" w:eastAsia="zh-CN"/>
        </w:rPr>
        <w:t>变更完成单</w:t>
      </w:r>
    </w:p>
    <w:tbl>
      <w:tblPr>
        <w:tblStyle w:val="24"/>
        <w:tblW w:w="996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2"/>
        <w:gridCol w:w="2110"/>
        <w:gridCol w:w="2102"/>
        <w:gridCol w:w="3472"/>
      </w:tblGrid>
      <w:tr w14:paraId="3D40FA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2282" w:type="dxa"/>
          </w:tcPr>
          <w:p w14:paraId="3F8D6C92">
            <w:pPr>
              <w:pStyle w:val="25"/>
              <w:spacing w:before="189" w:line="219" w:lineRule="auto"/>
              <w:ind w:left="786"/>
            </w:pPr>
            <w:r>
              <w:rPr>
                <w:spacing w:val="-4"/>
              </w:rPr>
              <w:t>编制人</w:t>
            </w:r>
          </w:p>
        </w:tc>
        <w:tc>
          <w:tcPr>
            <w:tcW w:w="2110" w:type="dxa"/>
            <w:tcBorders>
              <w:right w:val="single" w:color="000000" w:sz="2" w:space="0"/>
            </w:tcBorders>
            <w:vAlign w:val="center"/>
          </w:tcPr>
          <w:p w14:paraId="0AE5100F">
            <w:pPr>
              <w:pStyle w:val="25"/>
              <w:spacing w:before="189" w:line="219" w:lineRule="auto"/>
              <w:ind w:left="701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胡葛鹏宇</w:t>
            </w:r>
          </w:p>
        </w:tc>
        <w:tc>
          <w:tcPr>
            <w:tcW w:w="2102" w:type="dxa"/>
            <w:tcBorders>
              <w:left w:val="single" w:color="000000" w:sz="2" w:space="0"/>
            </w:tcBorders>
            <w:vAlign w:val="center"/>
          </w:tcPr>
          <w:p w14:paraId="1925B73B">
            <w:pPr>
              <w:pStyle w:val="25"/>
              <w:spacing w:before="190" w:line="221" w:lineRule="auto"/>
              <w:ind w:left="829"/>
            </w:pPr>
            <w:r>
              <w:rPr>
                <w:spacing w:val="-11"/>
              </w:rPr>
              <w:t>时间</w:t>
            </w:r>
          </w:p>
        </w:tc>
        <w:tc>
          <w:tcPr>
            <w:tcW w:w="3472" w:type="dxa"/>
            <w:tcBorders>
              <w:right w:val="single" w:color="000000" w:sz="2" w:space="0"/>
            </w:tcBorders>
            <w:vAlign w:val="center"/>
          </w:tcPr>
          <w:p w14:paraId="533B1A0E">
            <w:pPr>
              <w:pStyle w:val="25"/>
              <w:spacing w:before="189" w:line="239" w:lineRule="auto"/>
              <w:ind w:left="117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2025.</w:t>
            </w:r>
            <w:r>
              <w:rPr>
                <w:rFonts w:hint="eastAsia"/>
                <w:spacing w:val="-2"/>
                <w:lang w:val="en-US" w:eastAsia="zh-CN"/>
              </w:rPr>
              <w:t>7</w:t>
            </w:r>
            <w:r>
              <w:rPr>
                <w:spacing w:val="-2"/>
              </w:rPr>
              <w:t>.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</w:p>
        </w:tc>
      </w:tr>
      <w:tr w14:paraId="48DF3E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  <w:jc w:val="center"/>
        </w:trPr>
        <w:tc>
          <w:tcPr>
            <w:tcW w:w="2282" w:type="dxa"/>
          </w:tcPr>
          <w:p w14:paraId="5AF0B871">
            <w:pPr>
              <w:pStyle w:val="25"/>
              <w:spacing w:before="171" w:line="219" w:lineRule="auto"/>
              <w:ind w:left="666"/>
            </w:pPr>
            <w:r>
              <w:rPr>
                <w:spacing w:val="-3"/>
              </w:rPr>
              <w:t>呈交部门</w:t>
            </w:r>
          </w:p>
        </w:tc>
        <w:tc>
          <w:tcPr>
            <w:tcW w:w="2110" w:type="dxa"/>
            <w:tcBorders>
              <w:right w:val="single" w:color="000000" w:sz="2" w:space="0"/>
            </w:tcBorders>
            <w:vAlign w:val="center"/>
          </w:tcPr>
          <w:p w14:paraId="1FD92D32">
            <w:pPr>
              <w:pStyle w:val="25"/>
              <w:spacing w:before="171" w:line="219" w:lineRule="auto"/>
              <w:ind w:left="69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运维部</w:t>
            </w:r>
          </w:p>
        </w:tc>
        <w:tc>
          <w:tcPr>
            <w:tcW w:w="2102" w:type="dxa"/>
            <w:tcBorders>
              <w:left w:val="single" w:color="000000" w:sz="2" w:space="0"/>
            </w:tcBorders>
            <w:vAlign w:val="center"/>
          </w:tcPr>
          <w:p w14:paraId="7EE2143D">
            <w:pPr>
              <w:pStyle w:val="25"/>
              <w:spacing w:before="170" w:line="224" w:lineRule="auto"/>
              <w:ind w:left="817"/>
            </w:pPr>
            <w:r>
              <w:rPr>
                <w:spacing w:val="-5"/>
              </w:rPr>
              <w:t>地点</w:t>
            </w:r>
          </w:p>
        </w:tc>
        <w:tc>
          <w:tcPr>
            <w:tcW w:w="3472" w:type="dxa"/>
            <w:vAlign w:val="center"/>
          </w:tcPr>
          <w:p w14:paraId="267C695E">
            <w:pPr>
              <w:pStyle w:val="25"/>
              <w:spacing w:before="170" w:line="219" w:lineRule="auto"/>
              <w:ind w:left="122"/>
            </w:pPr>
            <w:r>
              <w:rPr>
                <w:spacing w:val="-4"/>
              </w:rPr>
              <w:t>公司会议室</w:t>
            </w:r>
          </w:p>
        </w:tc>
      </w:tr>
      <w:tr w14:paraId="74FA8E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  <w:jc w:val="center"/>
        </w:trPr>
        <w:tc>
          <w:tcPr>
            <w:tcW w:w="2282" w:type="dxa"/>
          </w:tcPr>
          <w:p w14:paraId="19E835A6">
            <w:pPr>
              <w:pStyle w:val="25"/>
              <w:spacing w:before="188" w:line="220" w:lineRule="auto"/>
              <w:ind w:left="668"/>
            </w:pPr>
            <w:r>
              <w:rPr>
                <w:spacing w:val="-4"/>
              </w:rPr>
              <w:t>项目名称</w:t>
            </w:r>
          </w:p>
        </w:tc>
        <w:tc>
          <w:tcPr>
            <w:tcW w:w="7684" w:type="dxa"/>
            <w:gridSpan w:val="3"/>
            <w:vAlign w:val="center"/>
          </w:tcPr>
          <w:p w14:paraId="57467BD2">
            <w:pPr>
              <w:pStyle w:val="25"/>
              <w:spacing w:before="189" w:line="219" w:lineRule="auto"/>
              <w:ind w:left="701"/>
              <w:rPr>
                <w:rFonts w:ascii="Arial"/>
                <w:sz w:val="21"/>
              </w:rPr>
            </w:pPr>
            <w:r>
              <w:rPr>
                <w:rFonts w:hint="default"/>
                <w:lang w:val="en-US" w:eastAsia="zh-CN"/>
              </w:rPr>
              <w:t>临夏州中医医院“智慧银医”项</w:t>
            </w:r>
            <w:r>
              <w:rPr>
                <w:rFonts w:hint="eastAsia"/>
                <w:lang w:val="en-US" w:eastAsia="zh-CN"/>
              </w:rPr>
              <w:t>目</w:t>
            </w:r>
            <w:bookmarkStart w:id="0" w:name="_GoBack"/>
            <w:bookmarkEnd w:id="0"/>
          </w:p>
        </w:tc>
      </w:tr>
      <w:tr w14:paraId="50C68E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2282" w:type="dxa"/>
          </w:tcPr>
          <w:p w14:paraId="11CF2C76">
            <w:pPr>
              <w:pStyle w:val="25"/>
              <w:spacing w:before="183" w:line="219" w:lineRule="auto"/>
              <w:ind w:left="53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变更标题</w:t>
            </w:r>
          </w:p>
        </w:tc>
        <w:tc>
          <w:tcPr>
            <w:tcW w:w="7684" w:type="dxa"/>
            <w:gridSpan w:val="3"/>
          </w:tcPr>
          <w:p w14:paraId="2B775306">
            <w:pPr>
              <w:pStyle w:val="25"/>
              <w:spacing w:before="183" w:line="219" w:lineRule="auto"/>
              <w:ind w:left="53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统一支付平台对账同步机制优化项目</w:t>
            </w:r>
          </w:p>
        </w:tc>
      </w:tr>
      <w:tr w14:paraId="655122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2282" w:type="dxa"/>
          </w:tcPr>
          <w:p w14:paraId="715EEBD4">
            <w:pPr>
              <w:pStyle w:val="25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变更状态</w:t>
            </w:r>
          </w:p>
        </w:tc>
        <w:tc>
          <w:tcPr>
            <w:tcW w:w="7684" w:type="dxa"/>
            <w:gridSpan w:val="3"/>
          </w:tcPr>
          <w:p w14:paraId="60EE8B59">
            <w:pPr>
              <w:pStyle w:val="25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已完成、系统运行正常</w:t>
            </w:r>
          </w:p>
        </w:tc>
      </w:tr>
      <w:tr w14:paraId="389C26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2282" w:type="dxa"/>
          </w:tcPr>
          <w:p w14:paraId="7A0C702C">
            <w:pPr>
              <w:pStyle w:val="25"/>
              <w:spacing w:before="183" w:line="219" w:lineRule="auto"/>
              <w:ind w:left="53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完成时间</w:t>
            </w:r>
          </w:p>
        </w:tc>
        <w:tc>
          <w:tcPr>
            <w:tcW w:w="7684" w:type="dxa"/>
            <w:gridSpan w:val="3"/>
          </w:tcPr>
          <w:p w14:paraId="7F74FCF7">
            <w:pPr>
              <w:pStyle w:val="25"/>
              <w:spacing w:before="183" w:line="219" w:lineRule="auto"/>
              <w:ind w:left="53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2025年7月28日</w:t>
            </w:r>
          </w:p>
        </w:tc>
      </w:tr>
      <w:tr w14:paraId="273BA9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  <w:jc w:val="center"/>
        </w:trPr>
        <w:tc>
          <w:tcPr>
            <w:tcW w:w="2282" w:type="dxa"/>
          </w:tcPr>
          <w:p w14:paraId="5684A763">
            <w:pPr>
              <w:pStyle w:val="25"/>
              <w:spacing w:before="183" w:line="219" w:lineRule="auto"/>
              <w:ind w:left="53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变更实施概述</w:t>
            </w:r>
          </w:p>
        </w:tc>
        <w:tc>
          <w:tcPr>
            <w:tcW w:w="7684" w:type="dxa"/>
            <w:gridSpan w:val="3"/>
          </w:tcPr>
          <w:p w14:paraId="610CCB82">
            <w:pPr>
              <w:pStyle w:val="25"/>
              <w:spacing w:before="183" w:line="219" w:lineRule="auto"/>
              <w:ind w:left="539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本次变更已于2025年7月21日凌晨00:30–01:00按计划实施完毕。优化内容包括：</w:t>
            </w:r>
          </w:p>
          <w:p w14:paraId="615B3DF8">
            <w:pPr>
              <w:pStyle w:val="25"/>
              <w:spacing w:before="183" w:line="219" w:lineRule="auto"/>
              <w:ind w:left="539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对账同步机制增加延迟补偿与重试逻辑；</w:t>
            </w:r>
          </w:p>
          <w:p w14:paraId="42C617D8">
            <w:pPr>
              <w:pStyle w:val="25"/>
              <w:spacing w:before="183" w:line="219" w:lineRule="auto"/>
              <w:ind w:left="539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统一交易标识映射规则；</w:t>
            </w:r>
          </w:p>
          <w:p w14:paraId="37057E55">
            <w:pPr>
              <w:pStyle w:val="25"/>
              <w:spacing w:before="183" w:line="219" w:lineRule="auto"/>
              <w:ind w:left="539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增强异常账单分类与告警功能。</w:t>
            </w:r>
          </w:p>
          <w:p w14:paraId="30AD8C9D">
            <w:pPr>
              <w:pStyle w:val="25"/>
              <w:spacing w:before="183" w:line="219" w:lineRule="auto"/>
              <w:ind w:left="539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系统已于上线后平稳运行一周，各项功能验证通过，对账异常率显著下降。</w:t>
            </w:r>
          </w:p>
        </w:tc>
      </w:tr>
      <w:tr w14:paraId="583A68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2282" w:type="dxa"/>
          </w:tcPr>
          <w:p w14:paraId="28B6AA8E">
            <w:pPr>
              <w:pStyle w:val="25"/>
              <w:spacing w:before="183" w:line="219" w:lineRule="auto"/>
              <w:ind w:left="53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变更结果验证</w:t>
            </w:r>
          </w:p>
        </w:tc>
        <w:tc>
          <w:tcPr>
            <w:tcW w:w="7684" w:type="dxa"/>
            <w:gridSpan w:val="3"/>
          </w:tcPr>
          <w:tbl>
            <w:tblPr>
              <w:tblStyle w:val="20"/>
              <w:tblW w:w="9024" w:type="dxa"/>
              <w:tblInd w:w="-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75"/>
              <w:gridCol w:w="3574"/>
              <w:gridCol w:w="3575"/>
            </w:tblGrid>
            <w:tr w14:paraId="47D660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1875" w:type="dxa"/>
                  <w:shd w:val="clear" w:color="auto" w:fill="auto"/>
                  <w:tcMar>
                    <w:top w:w="120" w:type="dxa"/>
                    <w:left w:w="0" w:type="dxa"/>
                    <w:bottom w:w="120" w:type="dxa"/>
                    <w:right w:w="192" w:type="dxa"/>
                  </w:tcMar>
                  <w:vAlign w:val="center"/>
                </w:tcPr>
                <w:p w14:paraId="30F36F50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Style w:val="23"/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验证项</w:t>
                  </w:r>
                </w:p>
              </w:tc>
              <w:tc>
                <w:tcPr>
                  <w:tcW w:w="3574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3251D035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Style w:val="23"/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验证结果</w:t>
                  </w:r>
                </w:p>
              </w:tc>
              <w:tc>
                <w:tcPr>
                  <w:tcW w:w="3574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1F0D310F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Style w:val="23"/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验证人/部门</w:t>
                  </w:r>
                </w:p>
              </w:tc>
            </w:tr>
            <w:tr w14:paraId="29CEE8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75" w:type="dxa"/>
                  <w:shd w:val="clear" w:color="auto" w:fill="auto"/>
                  <w:tcMar>
                    <w:top w:w="120" w:type="dxa"/>
                    <w:left w:w="0" w:type="dxa"/>
                    <w:bottom w:w="120" w:type="dxa"/>
                    <w:right w:w="192" w:type="dxa"/>
                  </w:tcMar>
                  <w:vAlign w:val="center"/>
                </w:tcPr>
                <w:p w14:paraId="218F2449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对账任务自动执行正常</w:t>
                  </w:r>
                </w:p>
              </w:tc>
              <w:tc>
                <w:tcPr>
                  <w:tcW w:w="3574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61BF05BD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✅ 每日凌晨准时触发，无失败记录</w:t>
                  </w:r>
                </w:p>
              </w:tc>
              <w:tc>
                <w:tcPr>
                  <w:tcW w:w="3574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 w14:paraId="606C8CDC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运维部</w:t>
                  </w:r>
                </w:p>
              </w:tc>
            </w:tr>
            <w:tr w14:paraId="04FA52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75" w:type="dxa"/>
                  <w:shd w:val="clear" w:color="auto" w:fill="auto"/>
                  <w:tcMar>
                    <w:top w:w="120" w:type="dxa"/>
                    <w:left w:w="0" w:type="dxa"/>
                    <w:bottom w:w="120" w:type="dxa"/>
                    <w:right w:w="192" w:type="dxa"/>
                  </w:tcMar>
                  <w:vAlign w:val="center"/>
                </w:tcPr>
                <w:p w14:paraId="3B49B26E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平台与HIS账单一致率</w:t>
                  </w:r>
                </w:p>
              </w:tc>
              <w:tc>
                <w:tcPr>
                  <w:tcW w:w="3574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78D97FE1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✅ 一致率从92%提升至99.8%</w:t>
                  </w:r>
                </w:p>
              </w:tc>
              <w:tc>
                <w:tcPr>
                  <w:tcW w:w="3574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 w14:paraId="07BDE566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eastAsia" w:ascii="Segoe UI" w:hAnsi="Segoe UI" w:eastAsia="Segoe UI" w:cs="Segoe UI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甲方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财务科</w:t>
                  </w:r>
                </w:p>
              </w:tc>
            </w:tr>
            <w:tr w14:paraId="049B86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75" w:type="dxa"/>
                  <w:shd w:val="clear" w:color="auto" w:fill="auto"/>
                  <w:tcMar>
                    <w:top w:w="120" w:type="dxa"/>
                    <w:left w:w="0" w:type="dxa"/>
                    <w:bottom w:w="120" w:type="dxa"/>
                    <w:right w:w="192" w:type="dxa"/>
                  </w:tcMar>
                  <w:vAlign w:val="center"/>
                </w:tcPr>
                <w:p w14:paraId="32712655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异常账单自动归类与告警</w:t>
                  </w:r>
                </w:p>
              </w:tc>
              <w:tc>
                <w:tcPr>
                  <w:tcW w:w="3574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61972170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✅ 告警及时，支持半自动处理</w:t>
                  </w:r>
                </w:p>
              </w:tc>
              <w:tc>
                <w:tcPr>
                  <w:tcW w:w="3574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 w14:paraId="00C94C9A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运维部</w:t>
                  </w:r>
                </w:p>
              </w:tc>
            </w:tr>
            <w:tr w14:paraId="2AC4A8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75" w:type="dxa"/>
                  <w:shd w:val="clear" w:color="auto" w:fill="auto"/>
                  <w:tcMar>
                    <w:top w:w="120" w:type="dxa"/>
                    <w:left w:w="0" w:type="dxa"/>
                    <w:bottom w:w="120" w:type="dxa"/>
                    <w:right w:w="192" w:type="dxa"/>
                  </w:tcMar>
                  <w:vAlign w:val="center"/>
                </w:tcPr>
                <w:p w14:paraId="6269E7B1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财务对账效率提升</w:t>
                  </w:r>
                </w:p>
              </w:tc>
              <w:tc>
                <w:tcPr>
                  <w:tcW w:w="3574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7E4800B8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✅ 人工干预时间减少约65%</w:t>
                  </w:r>
                </w:p>
              </w:tc>
              <w:tc>
                <w:tcPr>
                  <w:tcW w:w="3574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 w14:paraId="6F760AEA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eastAsia" w:ascii="Segoe UI" w:hAnsi="Segoe UI" w:eastAsia="Segoe UI" w:cs="Segoe UI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甲方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财务科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财务科</w:t>
                  </w:r>
                </w:p>
              </w:tc>
            </w:tr>
            <w:tr w14:paraId="7FB813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75" w:type="dxa"/>
                  <w:shd w:val="clear" w:color="auto" w:fill="auto"/>
                  <w:tcMar>
                    <w:top w:w="120" w:type="dxa"/>
                    <w:left w:w="0" w:type="dxa"/>
                    <w:bottom w:w="120" w:type="dxa"/>
                    <w:right w:w="192" w:type="dxa"/>
                  </w:tcMar>
                  <w:vAlign w:val="center"/>
                </w:tcPr>
                <w:p w14:paraId="04810CA3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系统性能无下降</w:t>
                  </w:r>
                </w:p>
              </w:tc>
              <w:tc>
                <w:tcPr>
                  <w:tcW w:w="3574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3666D0FA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✅ 对账响应时间保持在2秒内</w:t>
                  </w:r>
                </w:p>
              </w:tc>
              <w:tc>
                <w:tcPr>
                  <w:tcW w:w="3574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 w14:paraId="62533878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hint="default" w:ascii="Segoe UI" w:hAnsi="Segoe UI" w:eastAsia="宋体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Segoe UI" w:hAnsi="Segoe UI" w:eastAsia="宋体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  <w:lang w:val="en-US" w:eastAsia="zh-CN"/>
                    </w:rPr>
                    <w:t>运维部</w:t>
                  </w:r>
                </w:p>
              </w:tc>
            </w:tr>
          </w:tbl>
          <w:p w14:paraId="59A0F240">
            <w:pPr>
              <w:pStyle w:val="25"/>
              <w:spacing w:before="183" w:line="219" w:lineRule="auto"/>
              <w:ind w:left="539"/>
              <w:rPr>
                <w:rFonts w:hint="default" w:eastAsia="宋体"/>
                <w:lang w:val="en-US" w:eastAsia="zh-CN"/>
              </w:rPr>
            </w:pPr>
          </w:p>
        </w:tc>
      </w:tr>
      <w:tr w14:paraId="5A7D67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2282" w:type="dxa"/>
          </w:tcPr>
          <w:p w14:paraId="54601139">
            <w:pPr>
              <w:pStyle w:val="25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后续改进</w:t>
            </w:r>
          </w:p>
        </w:tc>
        <w:tc>
          <w:tcPr>
            <w:tcW w:w="7684" w:type="dxa"/>
            <w:gridSpan w:val="3"/>
          </w:tcPr>
          <w:p w14:paraId="0DC0118C">
            <w:pPr>
              <w:pStyle w:val="25"/>
              <w:spacing w:before="183" w:line="219" w:lineRule="auto"/>
              <w:ind w:left="539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建议持续监控对账准确率，每月输出对账质量报告。</w:t>
            </w:r>
          </w:p>
          <w:p w14:paraId="2E158DB1">
            <w:pPr>
              <w:pStyle w:val="25"/>
              <w:spacing w:before="183" w:line="219" w:lineRule="auto"/>
              <w:ind w:left="539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可考虑将对账机制优化经验推广至住院结算等其他支付场景。</w:t>
            </w:r>
          </w:p>
          <w:p w14:paraId="21EF61C4">
            <w:pPr>
              <w:pStyle w:val="25"/>
              <w:spacing w:before="183" w:line="219" w:lineRule="auto"/>
              <w:ind w:left="539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将本次变更纳入系统运维</w:t>
            </w:r>
            <w:r>
              <w:rPr>
                <w:rFonts w:hint="eastAsia"/>
                <w:lang w:val="en-US" w:eastAsia="zh-CN"/>
              </w:rPr>
              <w:t>服务知识</w:t>
            </w:r>
            <w:r>
              <w:rPr>
                <w:rFonts w:hint="default" w:eastAsia="宋体"/>
                <w:lang w:val="en-US" w:eastAsia="zh-CN"/>
              </w:rPr>
              <w:t>，供后续类似问题参考。</w:t>
            </w:r>
          </w:p>
        </w:tc>
      </w:tr>
    </w:tbl>
    <w:p w14:paraId="5144E41E">
      <w:pPr>
        <w:rPr>
          <w:rFonts w:ascii="Arial"/>
          <w:sz w:val="21"/>
        </w:rPr>
      </w:pPr>
    </w:p>
    <w:sectPr>
      <w:headerReference r:id="rId5" w:type="default"/>
      <w:footerReference r:id="rId6" w:type="default"/>
      <w:pgSz w:w="11906" w:h="16838"/>
      <w:pgMar w:top="1" w:right="1079" w:bottom="1210" w:left="1785" w:header="0" w:footer="99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AA50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61612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8E7169"/>
    <w:rsid w:val="04C904B8"/>
    <w:rsid w:val="067A5F0E"/>
    <w:rsid w:val="06D575E9"/>
    <w:rsid w:val="07CF4038"/>
    <w:rsid w:val="0A622F41"/>
    <w:rsid w:val="0C821820"/>
    <w:rsid w:val="0DD84E8B"/>
    <w:rsid w:val="0FF54858"/>
    <w:rsid w:val="10A122E9"/>
    <w:rsid w:val="159F14ED"/>
    <w:rsid w:val="189A7199"/>
    <w:rsid w:val="19B65058"/>
    <w:rsid w:val="1ED57D2E"/>
    <w:rsid w:val="210B5C89"/>
    <w:rsid w:val="23933FC7"/>
    <w:rsid w:val="24B71C84"/>
    <w:rsid w:val="2B204A27"/>
    <w:rsid w:val="335A2AA0"/>
    <w:rsid w:val="34126E2C"/>
    <w:rsid w:val="35736503"/>
    <w:rsid w:val="371D006C"/>
    <w:rsid w:val="37991DE9"/>
    <w:rsid w:val="3B331C0C"/>
    <w:rsid w:val="3BB645EB"/>
    <w:rsid w:val="3FB65CD0"/>
    <w:rsid w:val="40341627"/>
    <w:rsid w:val="4118441E"/>
    <w:rsid w:val="412B359D"/>
    <w:rsid w:val="47596E9F"/>
    <w:rsid w:val="48F0738F"/>
    <w:rsid w:val="49F904C5"/>
    <w:rsid w:val="4DDA060D"/>
    <w:rsid w:val="51185BD1"/>
    <w:rsid w:val="536F0303"/>
    <w:rsid w:val="54370568"/>
    <w:rsid w:val="55394777"/>
    <w:rsid w:val="55631E7D"/>
    <w:rsid w:val="559E0611"/>
    <w:rsid w:val="572D7A00"/>
    <w:rsid w:val="573568B4"/>
    <w:rsid w:val="57AD375A"/>
    <w:rsid w:val="57BC0267"/>
    <w:rsid w:val="58045325"/>
    <w:rsid w:val="59902C20"/>
    <w:rsid w:val="5AF80325"/>
    <w:rsid w:val="5F5E475F"/>
    <w:rsid w:val="60325913"/>
    <w:rsid w:val="60A2064A"/>
    <w:rsid w:val="628C5F22"/>
    <w:rsid w:val="634560D1"/>
    <w:rsid w:val="63C4547F"/>
    <w:rsid w:val="647F41B9"/>
    <w:rsid w:val="64A20054"/>
    <w:rsid w:val="64F1206D"/>
    <w:rsid w:val="65474BE1"/>
    <w:rsid w:val="6A1876BB"/>
    <w:rsid w:val="6A8837D0"/>
    <w:rsid w:val="6BC90267"/>
    <w:rsid w:val="6C446794"/>
    <w:rsid w:val="6D156B14"/>
    <w:rsid w:val="6E3D4575"/>
    <w:rsid w:val="735E5441"/>
    <w:rsid w:val="742F1289"/>
    <w:rsid w:val="75297601"/>
    <w:rsid w:val="77136E5E"/>
    <w:rsid w:val="7730111A"/>
    <w:rsid w:val="78144544"/>
    <w:rsid w:val="78C22246"/>
    <w:rsid w:val="7A2776A8"/>
    <w:rsid w:val="7D9F4FBA"/>
    <w:rsid w:val="7DA44BAB"/>
    <w:rsid w:val="7EFB4AC3"/>
    <w:rsid w:val="7FF139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444</Words>
  <Characters>478</Characters>
  <Lines>0</Lines>
  <Paragraphs>0</Paragraphs>
  <TotalTime>0</TotalTime>
  <ScaleCrop>false</ScaleCrop>
  <LinksUpToDate>false</LinksUpToDate>
  <CharactersWithSpaces>483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2025-08-21T06:31:00Z</dcterms:created>
  <dc:creator>18442</dc:creator>
  <cp:lastModifiedBy>郝宇</cp:lastModifiedBy>
  <dcterms:modified xsi:type="dcterms:W3CDTF">2026-01-04T01:12:22Z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6EEDEB6CDA2C404BA91D0B02197B4709_12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