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351273">
      <w:pPr>
        <w:pStyle w:val="31"/>
        <w:bidi w:val="0"/>
      </w:pPr>
      <w:bookmarkStart w:id="0" w:name="_Toc28766"/>
    </w:p>
    <w:p w14:paraId="1815F918">
      <w:pPr>
        <w:pStyle w:val="31"/>
        <w:bidi w:val="0"/>
      </w:pPr>
    </w:p>
    <w:p w14:paraId="3E250739">
      <w:pPr>
        <w:pStyle w:val="31"/>
        <w:bidi w:val="0"/>
      </w:pPr>
      <w:r>
        <w:t>服务台应用提升情况说明</w:t>
      </w:r>
      <w:bookmarkEnd w:id="0"/>
    </w:p>
    <w:p w14:paraId="5908DF29">
      <w:pPr>
        <w:pStyle w:val="32"/>
        <w:bidi w:val="0"/>
      </w:pPr>
      <w:bookmarkStart w:id="1" w:name="_Toc13503"/>
      <w:r>
        <w:t>甘肃国邦信息科技有限公司</w:t>
      </w:r>
      <w:bookmarkEnd w:id="1"/>
    </w:p>
    <w:p w14:paraId="2E0370EA">
      <w:pPr>
        <w:spacing w:before="224" w:line="220" w:lineRule="auto"/>
        <w:ind w:left="2808"/>
        <w:rPr>
          <w:rFonts w:ascii="宋体" w:hAnsi="宋体" w:eastAsia="宋体" w:cs="宋体"/>
          <w:sz w:val="36"/>
          <w:szCs w:val="36"/>
        </w:rPr>
      </w:pPr>
      <w:r>
        <w:rPr>
          <w:rFonts w:ascii="宋体" w:hAnsi="宋体" w:eastAsia="宋体" w:cs="宋体"/>
          <w:spacing w:val="-10"/>
          <w:sz w:val="36"/>
          <w:szCs w:val="36"/>
        </w:rPr>
        <w:t>2025年</w:t>
      </w:r>
      <w:r>
        <w:rPr>
          <w:rFonts w:hint="eastAsia" w:ascii="宋体" w:hAnsi="宋体" w:eastAsia="宋体" w:cs="宋体"/>
          <w:spacing w:val="-10"/>
          <w:sz w:val="36"/>
          <w:szCs w:val="36"/>
          <w:lang w:val="en-US" w:eastAsia="zh-CN"/>
        </w:rPr>
        <w:t>10</w:t>
      </w:r>
      <w:r>
        <w:rPr>
          <w:rFonts w:ascii="宋体" w:hAnsi="宋体" w:eastAsia="宋体" w:cs="宋体"/>
          <w:spacing w:val="-10"/>
          <w:sz w:val="36"/>
          <w:szCs w:val="36"/>
        </w:rPr>
        <w:t>月20日</w:t>
      </w:r>
    </w:p>
    <w:p w14:paraId="27285C8A">
      <w:pPr>
        <w:spacing w:line="220" w:lineRule="auto"/>
        <w:rPr>
          <w:rFonts w:ascii="宋体" w:hAnsi="宋体" w:eastAsia="宋体" w:cs="宋体"/>
          <w:sz w:val="36"/>
          <w:szCs w:val="36"/>
        </w:rPr>
        <w:sectPr>
          <w:headerReference r:id="rId5" w:type="default"/>
          <w:pgSz w:w="11906" w:h="16839"/>
          <w:pgMar w:top="1097" w:right="1767" w:bottom="0" w:left="1768" w:header="1082" w:footer="0" w:gutter="0"/>
          <w:cols w:space="720" w:num="1"/>
        </w:sectPr>
      </w:pPr>
    </w:p>
    <w:p w14:paraId="7CD0307E">
      <w:pPr>
        <w:spacing w:before="91" w:line="220" w:lineRule="auto"/>
        <w:ind w:left="3778"/>
        <w:outlineLvl w:val="0"/>
        <w:rPr>
          <w:rFonts w:ascii="宋体" w:hAnsi="宋体" w:eastAsia="宋体" w:cs="宋体"/>
          <w:sz w:val="28"/>
          <w:szCs w:val="28"/>
        </w:rPr>
      </w:pPr>
      <w:bookmarkStart w:id="2" w:name="_Toc9532"/>
      <w:r>
        <w:rPr>
          <w:rFonts w:ascii="宋体" w:hAnsi="宋体" w:eastAsia="宋体" w:cs="宋体"/>
          <w:spacing w:val="-3"/>
          <w:sz w:val="28"/>
          <w:szCs w:val="28"/>
        </w:rPr>
        <w:t>文档信息</w:t>
      </w:r>
      <w:bookmarkEnd w:id="2"/>
    </w:p>
    <w:tbl>
      <w:tblPr>
        <w:tblStyle w:val="24"/>
        <w:tblW w:w="863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2"/>
        <w:gridCol w:w="1557"/>
        <w:gridCol w:w="2121"/>
        <w:gridCol w:w="1698"/>
        <w:gridCol w:w="1561"/>
      </w:tblGrid>
      <w:tr w14:paraId="134F35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2" w:type="dxa"/>
          </w:tcPr>
          <w:p w14:paraId="47359D95">
            <w:pPr>
              <w:pStyle w:val="25"/>
              <w:spacing w:before="139" w:line="220" w:lineRule="auto"/>
              <w:ind w:left="224"/>
            </w:pPr>
            <w:r>
              <w:rPr>
                <w:spacing w:val="-2"/>
              </w:rPr>
              <w:t>文档名称编号</w:t>
            </w:r>
          </w:p>
        </w:tc>
        <w:tc>
          <w:tcPr>
            <w:tcW w:w="6937" w:type="dxa"/>
            <w:gridSpan w:val="4"/>
          </w:tcPr>
          <w:p w14:paraId="7010B162">
            <w:pPr>
              <w:pStyle w:val="25"/>
              <w:spacing w:before="139" w:line="220" w:lineRule="auto"/>
              <w:ind w:left="108"/>
            </w:pPr>
            <w:r>
              <w:rPr>
                <w:spacing w:val="-1"/>
              </w:rPr>
              <w:t>服务台应用提升情况说明</w:t>
            </w:r>
          </w:p>
        </w:tc>
      </w:tr>
      <w:tr w14:paraId="027FDC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2" w:type="dxa"/>
          </w:tcPr>
          <w:p w14:paraId="3D1FA4CE">
            <w:pPr>
              <w:pStyle w:val="25"/>
              <w:spacing w:before="136" w:line="220" w:lineRule="auto"/>
              <w:ind w:left="434"/>
            </w:pPr>
            <w:r>
              <w:rPr>
                <w:spacing w:val="-2"/>
              </w:rPr>
              <w:t>编制单位</w:t>
            </w:r>
          </w:p>
        </w:tc>
        <w:tc>
          <w:tcPr>
            <w:tcW w:w="6937" w:type="dxa"/>
            <w:gridSpan w:val="4"/>
          </w:tcPr>
          <w:p w14:paraId="31D16000">
            <w:pPr>
              <w:pStyle w:val="25"/>
              <w:spacing w:before="137" w:line="219" w:lineRule="auto"/>
              <w:ind w:left="108"/>
            </w:pPr>
            <w:r>
              <w:rPr>
                <w:spacing w:val="-1"/>
              </w:rPr>
              <w:t>甘肃国邦信息科技有限公司</w:t>
            </w:r>
          </w:p>
        </w:tc>
      </w:tr>
      <w:tr w14:paraId="7DBA66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2" w:type="dxa"/>
          </w:tcPr>
          <w:p w14:paraId="4FDA42D5">
            <w:pPr>
              <w:pStyle w:val="25"/>
              <w:spacing w:before="139" w:line="219" w:lineRule="auto"/>
              <w:ind w:left="434"/>
            </w:pPr>
            <w:r>
              <w:rPr>
                <w:spacing w:val="-2"/>
              </w:rPr>
              <w:t>文档版本</w:t>
            </w:r>
          </w:p>
        </w:tc>
        <w:tc>
          <w:tcPr>
            <w:tcW w:w="1557" w:type="dxa"/>
          </w:tcPr>
          <w:p w14:paraId="1032811C">
            <w:pPr>
              <w:pStyle w:val="25"/>
              <w:spacing w:before="139" w:line="219" w:lineRule="auto"/>
              <w:ind w:left="360"/>
            </w:pPr>
            <w:r>
              <w:rPr>
                <w:spacing w:val="-2"/>
              </w:rPr>
              <w:t>版本日期</w:t>
            </w:r>
          </w:p>
        </w:tc>
        <w:tc>
          <w:tcPr>
            <w:tcW w:w="2121" w:type="dxa"/>
          </w:tcPr>
          <w:p w14:paraId="2E584D48">
            <w:pPr>
              <w:pStyle w:val="25"/>
              <w:spacing w:before="139" w:line="219" w:lineRule="auto"/>
              <w:ind w:left="645"/>
            </w:pPr>
            <w:r>
              <w:rPr>
                <w:spacing w:val="-2"/>
              </w:rPr>
              <w:t>版本说明</w:t>
            </w:r>
          </w:p>
        </w:tc>
        <w:tc>
          <w:tcPr>
            <w:tcW w:w="1698" w:type="dxa"/>
          </w:tcPr>
          <w:p w14:paraId="6018623F">
            <w:pPr>
              <w:pStyle w:val="25"/>
              <w:spacing w:before="139" w:line="220" w:lineRule="auto"/>
              <w:ind w:left="593"/>
            </w:pPr>
            <w:r>
              <w:rPr>
                <w:spacing w:val="-5"/>
              </w:rPr>
              <w:t>作</w:t>
            </w:r>
            <w:r>
              <w:rPr>
                <w:spacing w:val="9"/>
              </w:rPr>
              <w:t xml:space="preserve"> </w:t>
            </w:r>
            <w:r>
              <w:rPr>
                <w:spacing w:val="-5"/>
              </w:rPr>
              <w:t>者</w:t>
            </w:r>
          </w:p>
        </w:tc>
        <w:tc>
          <w:tcPr>
            <w:tcW w:w="1561" w:type="dxa"/>
          </w:tcPr>
          <w:p w14:paraId="2E55D6BD">
            <w:pPr>
              <w:pStyle w:val="25"/>
              <w:spacing w:before="139" w:line="220" w:lineRule="auto"/>
              <w:ind w:left="586"/>
            </w:pPr>
            <w:r>
              <w:rPr>
                <w:spacing w:val="-5"/>
              </w:rPr>
              <w:t>审核</w:t>
            </w:r>
          </w:p>
        </w:tc>
      </w:tr>
      <w:tr w14:paraId="02CC74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2" w:type="dxa"/>
          </w:tcPr>
          <w:p w14:paraId="64E92F3E">
            <w:pPr>
              <w:pStyle w:val="25"/>
              <w:spacing w:before="104" w:line="239" w:lineRule="auto"/>
              <w:ind w:left="637"/>
            </w:pPr>
            <w:r>
              <w:rPr>
                <w:spacing w:val="-1"/>
              </w:rPr>
              <w:t>V1.0</w:t>
            </w:r>
          </w:p>
        </w:tc>
        <w:tc>
          <w:tcPr>
            <w:tcW w:w="1557" w:type="dxa"/>
          </w:tcPr>
          <w:p w14:paraId="5782F59C">
            <w:pPr>
              <w:pStyle w:val="25"/>
              <w:spacing w:before="104"/>
              <w:ind w:left="362"/>
              <w:rPr>
                <w:rFonts w:hint="eastAsia" w:eastAsia="宋体"/>
                <w:lang w:val="en-US" w:eastAsia="zh-CN"/>
              </w:rPr>
            </w:pPr>
            <w:r>
              <w:rPr>
                <w:spacing w:val="-2"/>
              </w:rPr>
              <w:t>2025-</w:t>
            </w:r>
            <w:r>
              <w:rPr>
                <w:rFonts w:hint="eastAsia"/>
                <w:spacing w:val="-2"/>
                <w:lang w:val="en-US" w:eastAsia="zh-CN"/>
              </w:rPr>
              <w:t>10</w:t>
            </w:r>
            <w:r>
              <w:rPr>
                <w:spacing w:val="-2"/>
              </w:rPr>
              <w:t>-2</w:t>
            </w:r>
            <w:r>
              <w:rPr>
                <w:rFonts w:hint="eastAsia"/>
                <w:spacing w:val="-2"/>
                <w:lang w:val="en-US" w:eastAsia="zh-CN"/>
              </w:rPr>
              <w:t>0</w:t>
            </w:r>
          </w:p>
        </w:tc>
        <w:tc>
          <w:tcPr>
            <w:tcW w:w="2121" w:type="dxa"/>
          </w:tcPr>
          <w:p w14:paraId="7F866DE6">
            <w:pPr>
              <w:pStyle w:val="25"/>
              <w:spacing w:before="74" w:line="219" w:lineRule="auto"/>
              <w:ind w:left="647"/>
            </w:pPr>
            <w:r>
              <w:rPr>
                <w:spacing w:val="-3"/>
              </w:rPr>
              <w:t>发布版本</w:t>
            </w:r>
          </w:p>
        </w:tc>
        <w:tc>
          <w:tcPr>
            <w:tcW w:w="1698" w:type="dxa"/>
          </w:tcPr>
          <w:p w14:paraId="1A599C3C">
            <w:pPr>
              <w:pStyle w:val="25"/>
              <w:spacing w:before="75" w:line="220" w:lineRule="auto"/>
              <w:ind w:left="550"/>
              <w:rPr>
                <w:rFonts w:hint="eastAsia" w:eastAsia="宋体"/>
                <w:lang w:val="en-US" w:eastAsia="zh-CN"/>
              </w:rPr>
            </w:pPr>
            <w:r>
              <w:rPr>
                <w:rFonts w:hint="eastAsia"/>
                <w:lang w:val="en-US" w:eastAsia="zh-CN"/>
              </w:rPr>
              <w:t>胡葛鹏宇</w:t>
            </w:r>
          </w:p>
        </w:tc>
        <w:tc>
          <w:tcPr>
            <w:tcW w:w="1561" w:type="dxa"/>
          </w:tcPr>
          <w:p w14:paraId="4A47DA7F">
            <w:pPr>
              <w:pStyle w:val="25"/>
              <w:spacing w:before="74" w:line="220" w:lineRule="auto"/>
              <w:ind w:left="476"/>
            </w:pPr>
            <w:r>
              <w:rPr>
                <w:spacing w:val="-3"/>
              </w:rPr>
              <w:t>黄益溪</w:t>
            </w:r>
          </w:p>
        </w:tc>
      </w:tr>
      <w:tr w14:paraId="2DA184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2" w:type="dxa"/>
          </w:tcPr>
          <w:p w14:paraId="3E0C17C9">
            <w:pPr>
              <w:rPr>
                <w:rFonts w:ascii="Arial"/>
                <w:sz w:val="21"/>
              </w:rPr>
            </w:pPr>
          </w:p>
        </w:tc>
        <w:tc>
          <w:tcPr>
            <w:tcW w:w="1557" w:type="dxa"/>
          </w:tcPr>
          <w:p w14:paraId="7A633C71">
            <w:pPr>
              <w:rPr>
                <w:rFonts w:ascii="Arial"/>
                <w:sz w:val="21"/>
              </w:rPr>
            </w:pPr>
          </w:p>
        </w:tc>
        <w:tc>
          <w:tcPr>
            <w:tcW w:w="2121" w:type="dxa"/>
          </w:tcPr>
          <w:p w14:paraId="21ABB0DA">
            <w:pPr>
              <w:rPr>
                <w:rFonts w:ascii="Arial"/>
                <w:sz w:val="21"/>
              </w:rPr>
            </w:pPr>
          </w:p>
        </w:tc>
        <w:tc>
          <w:tcPr>
            <w:tcW w:w="1698" w:type="dxa"/>
          </w:tcPr>
          <w:p w14:paraId="4DA69901">
            <w:pPr>
              <w:rPr>
                <w:rFonts w:ascii="Arial"/>
                <w:sz w:val="21"/>
              </w:rPr>
            </w:pPr>
          </w:p>
        </w:tc>
        <w:tc>
          <w:tcPr>
            <w:tcW w:w="1561" w:type="dxa"/>
          </w:tcPr>
          <w:p w14:paraId="2FBC026B">
            <w:pPr>
              <w:rPr>
                <w:rFonts w:ascii="Arial"/>
                <w:sz w:val="21"/>
              </w:rPr>
            </w:pPr>
          </w:p>
        </w:tc>
      </w:tr>
      <w:tr w14:paraId="1A3ED1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702" w:type="dxa"/>
          </w:tcPr>
          <w:p w14:paraId="3197F7AD">
            <w:pPr>
              <w:rPr>
                <w:rFonts w:ascii="Arial"/>
                <w:sz w:val="21"/>
              </w:rPr>
            </w:pPr>
          </w:p>
        </w:tc>
        <w:tc>
          <w:tcPr>
            <w:tcW w:w="1557" w:type="dxa"/>
          </w:tcPr>
          <w:p w14:paraId="0C42143F">
            <w:pPr>
              <w:rPr>
                <w:rFonts w:ascii="Arial"/>
                <w:sz w:val="21"/>
              </w:rPr>
            </w:pPr>
          </w:p>
        </w:tc>
        <w:tc>
          <w:tcPr>
            <w:tcW w:w="2121" w:type="dxa"/>
          </w:tcPr>
          <w:p w14:paraId="4CCC6C85">
            <w:pPr>
              <w:rPr>
                <w:rFonts w:ascii="Arial"/>
                <w:sz w:val="21"/>
              </w:rPr>
            </w:pPr>
          </w:p>
        </w:tc>
        <w:tc>
          <w:tcPr>
            <w:tcW w:w="1698" w:type="dxa"/>
          </w:tcPr>
          <w:p w14:paraId="5D33F7D9">
            <w:pPr>
              <w:rPr>
                <w:rFonts w:ascii="Arial"/>
                <w:sz w:val="21"/>
              </w:rPr>
            </w:pPr>
          </w:p>
        </w:tc>
        <w:tc>
          <w:tcPr>
            <w:tcW w:w="1561" w:type="dxa"/>
          </w:tcPr>
          <w:p w14:paraId="67D44F57">
            <w:pPr>
              <w:rPr>
                <w:rFonts w:ascii="Arial"/>
                <w:sz w:val="21"/>
              </w:rPr>
            </w:pPr>
          </w:p>
        </w:tc>
      </w:tr>
      <w:tr w14:paraId="2FB728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2" w:type="dxa"/>
          </w:tcPr>
          <w:p w14:paraId="553F0A8C">
            <w:pPr>
              <w:rPr>
                <w:rFonts w:ascii="Arial"/>
                <w:sz w:val="21"/>
              </w:rPr>
            </w:pPr>
          </w:p>
        </w:tc>
        <w:tc>
          <w:tcPr>
            <w:tcW w:w="1557" w:type="dxa"/>
          </w:tcPr>
          <w:p w14:paraId="581CC309">
            <w:pPr>
              <w:rPr>
                <w:rFonts w:ascii="Arial"/>
                <w:sz w:val="21"/>
              </w:rPr>
            </w:pPr>
          </w:p>
        </w:tc>
        <w:tc>
          <w:tcPr>
            <w:tcW w:w="2121" w:type="dxa"/>
          </w:tcPr>
          <w:p w14:paraId="4CF81D66">
            <w:pPr>
              <w:rPr>
                <w:rFonts w:ascii="Arial"/>
                <w:sz w:val="21"/>
              </w:rPr>
            </w:pPr>
          </w:p>
        </w:tc>
        <w:tc>
          <w:tcPr>
            <w:tcW w:w="1698" w:type="dxa"/>
          </w:tcPr>
          <w:p w14:paraId="490F571B">
            <w:pPr>
              <w:rPr>
                <w:rFonts w:ascii="Arial"/>
                <w:sz w:val="21"/>
              </w:rPr>
            </w:pPr>
          </w:p>
        </w:tc>
        <w:tc>
          <w:tcPr>
            <w:tcW w:w="1561" w:type="dxa"/>
          </w:tcPr>
          <w:p w14:paraId="24DCADA1">
            <w:pPr>
              <w:rPr>
                <w:rFonts w:ascii="Arial"/>
                <w:sz w:val="21"/>
              </w:rPr>
            </w:pPr>
          </w:p>
        </w:tc>
      </w:tr>
    </w:tbl>
    <w:p w14:paraId="66DA3BFC">
      <w:pPr>
        <w:pStyle w:val="12"/>
      </w:pPr>
    </w:p>
    <w:p w14:paraId="02DB6B80">
      <w:pPr>
        <w:sectPr>
          <w:headerReference r:id="rId6" w:type="default"/>
          <w:pgSz w:w="11906" w:h="16839"/>
          <w:pgMar w:top="1097" w:right="1627" w:bottom="0" w:left="1628" w:header="1082" w:footer="0" w:gutter="0"/>
          <w:cols w:space="720" w:num="1"/>
        </w:sectPr>
      </w:pPr>
    </w:p>
    <w:sdt>
      <w:sdtPr>
        <w:rPr>
          <w:rFonts w:ascii="宋体" w:hAnsi="宋体" w:eastAsia="宋体" w:cs="Arial"/>
          <w:snapToGrid w:val="0"/>
          <w:color w:val="000000"/>
          <w:kern w:val="0"/>
          <w:sz w:val="21"/>
          <w:szCs w:val="21"/>
          <w:lang w:val="en-US" w:eastAsia="en-US" w:bidi="ar-SA"/>
        </w:rPr>
        <w:id w:val="147467022"/>
        <w:docPartObj>
          <w:docPartGallery w:val="Table of Contents"/>
          <w:docPartUnique/>
        </w:docPartObj>
      </w:sdtPr>
      <w:sdtEndPr>
        <w:rPr>
          <w:rFonts w:ascii="Cambria" w:hAnsi="Cambria" w:eastAsia="Cambria" w:cs="Cambria"/>
          <w:snapToGrid w:val="0"/>
          <w:color w:val="000000"/>
          <w:kern w:val="0"/>
          <w:sz w:val="21"/>
          <w:szCs w:val="24"/>
          <w:lang w:val="en-US" w:eastAsia="en-US" w:bidi="ar-SA"/>
        </w:rPr>
      </w:sdtEndPr>
      <w:sdtContent>
        <w:p w14:paraId="4BC82295">
          <w:pPr>
            <w:spacing w:before="0" w:beforeLines="0" w:after="0" w:afterLines="0" w:line="240" w:lineRule="auto"/>
            <w:ind w:left="0" w:leftChars="0" w:right="0" w:rightChars="0" w:firstLine="0" w:firstLineChars="0"/>
            <w:jc w:val="center"/>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34686E3A">
          <w:pPr>
            <w:pStyle w:val="16"/>
            <w:tabs>
              <w:tab w:val="right" w:leader="dot" w:pos="9724"/>
            </w:tabs>
          </w:pPr>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_Toc28766 </w:instrText>
          </w:r>
          <w:r>
            <w:rPr>
              <w:rFonts w:hint="eastAsia" w:ascii="Microsoft JhengHei" w:hAnsi="Microsoft JhengHei" w:eastAsia="Microsoft JhengHei" w:cs="Microsoft JhengHei"/>
              <w:szCs w:val="24"/>
            </w:rPr>
            <w:fldChar w:fldCharType="separate"/>
          </w:r>
          <w:r>
            <w:t>服务台应用提升情况说明</w:t>
          </w:r>
          <w:r>
            <w:tab/>
          </w:r>
          <w:r>
            <w:fldChar w:fldCharType="begin"/>
          </w:r>
          <w:r>
            <w:instrText xml:space="preserve"> PAGEREF _Toc28766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2BB47749">
          <w:pPr>
            <w:pStyle w:val="16"/>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_Toc13503 </w:instrText>
          </w:r>
          <w:r>
            <w:rPr>
              <w:rFonts w:hint="eastAsia" w:ascii="Microsoft JhengHei" w:hAnsi="Microsoft JhengHei" w:eastAsia="Microsoft JhengHei" w:cs="Microsoft JhengHei"/>
              <w:szCs w:val="24"/>
            </w:rPr>
            <w:fldChar w:fldCharType="separate"/>
          </w:r>
          <w:r>
            <w:t>甘肃国邦信息科技有限公司</w:t>
          </w:r>
          <w:r>
            <w:tab/>
          </w:r>
          <w:r>
            <w:fldChar w:fldCharType="begin"/>
          </w:r>
          <w:r>
            <w:instrText xml:space="preserve"> PAGEREF _Toc13503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50D3C955">
          <w:pPr>
            <w:pStyle w:val="16"/>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_Toc9532 </w:instrText>
          </w:r>
          <w:r>
            <w:rPr>
              <w:rFonts w:hint="eastAsia" w:ascii="Microsoft JhengHei" w:hAnsi="Microsoft JhengHei" w:eastAsia="Microsoft JhengHei" w:cs="Microsoft JhengHei"/>
              <w:szCs w:val="24"/>
            </w:rPr>
            <w:fldChar w:fldCharType="separate"/>
          </w:r>
          <w:r>
            <w:rPr>
              <w:rFonts w:ascii="宋体" w:hAnsi="宋体" w:eastAsia="宋体" w:cs="宋体"/>
              <w:spacing w:val="-3"/>
              <w:szCs w:val="28"/>
            </w:rPr>
            <w:t>文档信息</w:t>
          </w:r>
          <w:r>
            <w:tab/>
          </w:r>
          <w:r>
            <w:fldChar w:fldCharType="begin"/>
          </w:r>
          <w:r>
            <w:instrText xml:space="preserve"> PAGEREF _Toc9532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1018378C">
          <w:pPr>
            <w:pStyle w:val="16"/>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_Toc11543 </w:instrText>
          </w:r>
          <w:r>
            <w:rPr>
              <w:rFonts w:hint="eastAsia" w:ascii="Microsoft JhengHei" w:hAnsi="Microsoft JhengHei" w:eastAsia="Microsoft JhengHei" w:cs="Microsoft JhengHei"/>
              <w:szCs w:val="24"/>
            </w:rPr>
            <w:fldChar w:fldCharType="separate"/>
          </w:r>
          <w:r>
            <w:rPr>
              <w:rFonts w:hint="default"/>
            </w:rPr>
            <w:t xml:space="preserve">1. </w:t>
          </w:r>
          <w:r>
            <w:t>服务台概况</w:t>
          </w:r>
          <w:r>
            <w:tab/>
          </w:r>
          <w:r>
            <w:fldChar w:fldCharType="begin"/>
          </w:r>
          <w:r>
            <w:instrText xml:space="preserve"> PAGEREF _Toc11543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0011B446">
          <w:pPr>
            <w:pStyle w:val="16"/>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_Toc4860 </w:instrText>
          </w:r>
          <w:r>
            <w:rPr>
              <w:rFonts w:hint="eastAsia" w:ascii="Microsoft JhengHei" w:hAnsi="Microsoft JhengHei" w:eastAsia="Microsoft JhengHei" w:cs="Microsoft JhengHei"/>
              <w:szCs w:val="24"/>
            </w:rPr>
            <w:fldChar w:fldCharType="separate"/>
          </w:r>
          <w:r>
            <w:rPr>
              <w:rFonts w:hint="default"/>
            </w:rPr>
            <w:t xml:space="preserve">2. </w:t>
          </w:r>
          <w:r>
            <w:t>严格要求服务台工作</w:t>
          </w:r>
          <w:r>
            <w:tab/>
          </w:r>
          <w:r>
            <w:fldChar w:fldCharType="begin"/>
          </w:r>
          <w:r>
            <w:instrText xml:space="preserve"> PAGEREF _Toc4860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5BFDA8F1">
          <w:pPr>
            <w:pStyle w:val="17"/>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_Toc3229 </w:instrText>
          </w:r>
          <w:r>
            <w:rPr>
              <w:rFonts w:hint="eastAsia" w:ascii="Microsoft JhengHei" w:hAnsi="Microsoft JhengHei" w:eastAsia="Microsoft JhengHei" w:cs="Microsoft JhengHei"/>
              <w:szCs w:val="24"/>
            </w:rPr>
            <w:fldChar w:fldCharType="separate"/>
          </w:r>
          <w:r>
            <w:rPr>
              <w:rFonts w:hint="default"/>
            </w:rPr>
            <w:t xml:space="preserve">2.1. </w:t>
          </w:r>
          <w:r>
            <w:t>提升服务台工作效率</w:t>
          </w:r>
          <w:r>
            <w:tab/>
          </w:r>
          <w:r>
            <w:fldChar w:fldCharType="begin"/>
          </w:r>
          <w:r>
            <w:instrText xml:space="preserve"> PAGEREF _Toc3229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444468E3">
          <w:pPr>
            <w:pStyle w:val="17"/>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_Toc29369 </w:instrText>
          </w:r>
          <w:r>
            <w:rPr>
              <w:rFonts w:hint="eastAsia" w:ascii="Microsoft JhengHei" w:hAnsi="Microsoft JhengHei" w:eastAsia="Microsoft JhengHei" w:cs="Microsoft JhengHei"/>
              <w:szCs w:val="24"/>
            </w:rPr>
            <w:fldChar w:fldCharType="separate"/>
          </w:r>
          <w:r>
            <w:rPr>
              <w:rFonts w:hint="default"/>
            </w:rPr>
            <w:t xml:space="preserve">2.2. </w:t>
          </w:r>
          <w:r>
            <w:t>服务台</w:t>
          </w:r>
          <w:r>
            <w:rPr>
              <w:rFonts w:hint="eastAsia"/>
              <w:lang w:val="en-US" w:eastAsia="zh-CN"/>
            </w:rPr>
            <w:t>指标完成情况</w:t>
          </w:r>
          <w:r>
            <w:tab/>
          </w:r>
          <w:r>
            <w:fldChar w:fldCharType="begin"/>
          </w:r>
          <w:r>
            <w:instrText xml:space="preserve"> PAGEREF _Toc29369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11CAF832">
          <w:pPr>
            <w:pStyle w:val="16"/>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_Toc2201 </w:instrText>
          </w:r>
          <w:r>
            <w:rPr>
              <w:rFonts w:hint="eastAsia" w:ascii="Microsoft JhengHei" w:hAnsi="Microsoft JhengHei" w:eastAsia="Microsoft JhengHei" w:cs="Microsoft JhengHei"/>
              <w:szCs w:val="24"/>
            </w:rPr>
            <w:fldChar w:fldCharType="separate"/>
          </w:r>
          <w:r>
            <w:rPr>
              <w:rFonts w:hint="default"/>
              <w:lang w:val="en-US" w:eastAsia="zh-CN"/>
            </w:rPr>
            <w:t xml:space="preserve">3. </w:t>
          </w:r>
          <w:r>
            <w:rPr>
              <w:rFonts w:hint="eastAsia"/>
              <w:lang w:val="en-US" w:eastAsia="zh-CN"/>
            </w:rPr>
            <w:t>总结</w:t>
          </w:r>
          <w:r>
            <w:tab/>
          </w:r>
          <w:r>
            <w:fldChar w:fldCharType="begin"/>
          </w:r>
          <w:r>
            <w:instrText xml:space="preserve"> PAGEREF _Toc2201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12B1811">
          <w:pPr>
            <w:spacing w:line="220" w:lineRule="auto"/>
            <w:rPr>
              <w:rFonts w:ascii="Cambria" w:hAnsi="Cambria" w:eastAsia="Cambria" w:cs="Cambria"/>
              <w:snapToGrid w:val="0"/>
              <w:color w:val="000000"/>
              <w:kern w:val="0"/>
              <w:sz w:val="21"/>
              <w:szCs w:val="24"/>
              <w:lang w:val="en-US" w:eastAsia="en-US" w:bidi="ar-SA"/>
            </w:rPr>
          </w:pPr>
          <w:r>
            <w:rPr>
              <w:rFonts w:hint="eastAsia" w:ascii="Microsoft JhengHei" w:hAnsi="Microsoft JhengHei" w:eastAsia="Microsoft JhengHei" w:cs="Microsoft JhengHei"/>
              <w:szCs w:val="24"/>
            </w:rPr>
            <w:fldChar w:fldCharType="end"/>
          </w:r>
        </w:p>
      </w:sdtContent>
    </w:sdt>
    <w:p w14:paraId="4FBFE4BE">
      <w:pPr>
        <w:spacing w:line="220" w:lineRule="auto"/>
        <w:rPr>
          <w:rFonts w:ascii="Cambria" w:hAnsi="Cambria" w:eastAsia="Cambria" w:cs="Cambria"/>
          <w:snapToGrid w:val="0"/>
          <w:color w:val="000000"/>
          <w:kern w:val="0"/>
          <w:sz w:val="21"/>
          <w:szCs w:val="24"/>
          <w:lang w:val="en-US" w:eastAsia="en-US" w:bidi="ar-SA"/>
        </w:rPr>
        <w:sectPr>
          <w:headerReference r:id="rId7" w:type="default"/>
          <w:footerReference r:id="rId8" w:type="default"/>
          <w:pgSz w:w="11906" w:h="16839"/>
          <w:pgMar w:top="1660" w:right="1090" w:bottom="1157" w:left="1092" w:header="0" w:footer="990" w:gutter="0"/>
          <w:cols w:space="720" w:num="1"/>
        </w:sectPr>
      </w:pPr>
    </w:p>
    <w:p w14:paraId="348D1FAB">
      <w:pPr>
        <w:pStyle w:val="26"/>
        <w:bidi w:val="0"/>
      </w:pPr>
      <w:bookmarkStart w:id="3" w:name="bookmark1"/>
      <w:bookmarkEnd w:id="3"/>
      <w:bookmarkStart w:id="4" w:name="_Toc11543"/>
      <w:r>
        <w:t>服务台概况</w:t>
      </w:r>
      <w:bookmarkEnd w:id="4"/>
    </w:p>
    <w:p w14:paraId="62074BAD">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服务台是与客户进行沟通和提供服务的重要途径之一，更是未来实现公司业绩成长的重要渠道。所以为了提高客服水平，特制定服务台运行服务管理制度，对所提供服务的产品或业务，交付和交付后的活动进行管理，将客户问题记录到《问题反馈单》，为客户提供专业化和规范化的服务。</w:t>
      </w:r>
    </w:p>
    <w:p w14:paraId="0DF1B9FE">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公司设置统一对外服务电话，设置专职客户专员担任服务台，实现5*8小时的电话接听，并在其他时间转接到服务台的手机，达到7*24小时的远程服务支持。</w:t>
      </w:r>
    </w:p>
    <w:p w14:paraId="37DB2FD2">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服务台的基本功能是接收用户的各类使用问题请求，并在规定时间内为用户直接远程解决相关问题，如遇复杂问题则转交二线支持，同时还需跟踪解决情况并及时反馈以便最终解决用户问题。在此基础上，服务台还要对服务过程和结果进行记录，以便分析总结，提高问题解决速度，保证服务SLA的达成。</w:t>
      </w:r>
      <w:bookmarkStart w:id="9" w:name="_GoBack"/>
      <w:bookmarkEnd w:id="9"/>
    </w:p>
    <w:p w14:paraId="30802C5C">
      <w:pPr>
        <w:pStyle w:val="26"/>
        <w:bidi w:val="0"/>
      </w:pPr>
      <w:bookmarkStart w:id="5" w:name="_Toc4860"/>
      <w:r>
        <w:t>严格要求服务台工作</w:t>
      </w:r>
      <w:bookmarkEnd w:id="5"/>
    </w:p>
    <w:p w14:paraId="6166E40A">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通过严格执行《服务台操作手册》、《服务台管理制度》明确客服的操作职责，结合公司往年的运行情况，2025年服务台录入事件的完整性目标值要求需达到95%。</w:t>
      </w:r>
    </w:p>
    <w:p w14:paraId="4E2746A5">
      <w:pPr>
        <w:pStyle w:val="28"/>
        <w:bidi w:val="0"/>
      </w:pPr>
      <w:bookmarkStart w:id="6" w:name="_Toc3229"/>
      <w:r>
        <w:t>提升服务台工作效率</w:t>
      </w:r>
      <w:bookmarkEnd w:id="6"/>
    </w:p>
    <w:p w14:paraId="7FA5EFD2">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实现运维服务入口的统一，并达到服务台的标准化和规范化:所有运维请求，都需通过服务台，由服务台首先接单，然后统一分派人员解决问题，使服务台成为真正的唯一联系点，方便为客户提供服务。通过建立服务台规范和制度，明确服务台的首问责任制，并采取标准化用语和处理流程，大幅提升服务台的规范化和标准化，提升公司的服务形象。</w:t>
      </w:r>
    </w:p>
    <w:p w14:paraId="01A3C3BB">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实现服务水平协议(SLA)的标准化管理:在运维项目立项或签订合同时，就与用户商定好各类故障和问题的不同级别和响应时间，根据服务级别来有序解决。在明确双方要求的基础上，大幅提高客户满意度，并为运维团队提供考核依据。</w:t>
      </w:r>
    </w:p>
    <w:p w14:paraId="61A5BB4D">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随着运维项目的增加，客户需求与问题增多，为提升服务效率，增加坐席人员。实现流程、运维软件和人员的集成:服务台承担起监控管理和主动改善IT现状的职责，结合运维管理平台实现整个运维过程的可视化和可追溯管理。在运维管理平台的辅助下，结合服务台记录的数据和专家团队的经验可快速给出服务台运营报告，并提出改进建议，避免常见问题重复发生，主动防患运维风险，使运维服务变被动为主动改善。</w:t>
      </w:r>
    </w:p>
    <w:p w14:paraId="7CC20E10">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总体来说，服务台首先实现统一规范管理并同时处理大量的服务请求，避免了因找不到特定技术人员而耽误时间，降低运营成本;其次通过对服务台的管理，结合建立服务知识，明确服务人员绩效考核等。</w:t>
      </w:r>
    </w:p>
    <w:p w14:paraId="18C8D19E">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实现运维服务入口的统一，并达到服务台的标准化和规范化:所有运维请求，都需通过服务台，由服务台首先接单，然后统一分派人员解决问题，使服务台成为真正的唯一联系点，方便为客户提供服务。</w:t>
      </w:r>
    </w:p>
    <w:p w14:paraId="758D58AE">
      <w:pPr>
        <w:pStyle w:val="28"/>
        <w:bidi w:val="0"/>
      </w:pPr>
      <w:bookmarkStart w:id="7" w:name="_Toc29369"/>
      <w:r>
        <w:t>服务台</w:t>
      </w:r>
      <w:r>
        <w:rPr>
          <w:rFonts w:hint="eastAsia"/>
          <w:lang w:val="en-US" w:eastAsia="zh-CN"/>
        </w:rPr>
        <w:t>指标完成情况</w:t>
      </w:r>
      <w:bookmarkEnd w:id="7"/>
    </w:p>
    <w:p w14:paraId="36E21C2D">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由于实现了服务台的标准化及制度化，并将运维人员分级管理，方便服务台人员对派单，因此服务台录入事件的完整率逐年提升，2025年设定的目标均为95%，经过2025年季度KPI跟踪，2025年第一、二和三季度服务台录入事件的完整率均达到100%。</w:t>
      </w:r>
    </w:p>
    <w:p w14:paraId="4B0BF0AC">
      <w:pPr>
        <w:pStyle w:val="26"/>
        <w:bidi w:val="0"/>
        <w:rPr>
          <w:rFonts w:hint="eastAsia"/>
          <w:lang w:val="en-US" w:eastAsia="zh-CN"/>
        </w:rPr>
      </w:pPr>
      <w:bookmarkStart w:id="8" w:name="_Toc2201"/>
      <w:r>
        <w:rPr>
          <w:rFonts w:hint="eastAsia"/>
          <w:lang w:val="en-US" w:eastAsia="zh-CN"/>
        </w:rPr>
        <w:t>总结</w:t>
      </w:r>
      <w:bookmarkEnd w:id="8"/>
    </w:p>
    <w:p w14:paraId="1B62C97F">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截止2025年10月，公司服务台在 “服务台录入事件完整率”这一关键绩效指标上表现优异，不仅稳定达成年度目标，更实现了100%的完整记录，为运维服务的标准化、规范化管理奠定了坚实的数据基础，有效支撑了服务级别协议（SLA）的达成与客户满意度的提升。</w:t>
      </w:r>
    </w:p>
    <w:sectPr>
      <w:headerReference r:id="rId9" w:type="default"/>
      <w:footerReference r:id="rId10" w:type="default"/>
      <w:pgSz w:w="11906" w:h="16839"/>
      <w:pgMar w:top="1240" w:right="1305" w:bottom="885" w:left="1088" w:header="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7A458F">
    <w:pPr>
      <w:spacing w:line="178" w:lineRule="auto"/>
      <w:ind w:left="4822"/>
      <w:rPr>
        <w:rFonts w:ascii="Cambria" w:hAnsi="Cambria" w:eastAsia="Cambria" w:cs="Cambria"/>
        <w:sz w:val="18"/>
        <w:szCs w:val="18"/>
      </w:rPr>
    </w:pPr>
    <w:r>
      <w:rPr>
        <w:rFonts w:ascii="Cambria" w:hAnsi="Cambria" w:eastAsia="Cambria" w:cs="Cambria"/>
        <w:sz w:val="18"/>
        <w:szCs w:val="18"/>
      </w:rPr>
      <w:t>2</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C3AE50">
    <w:pPr>
      <w:spacing w:line="177" w:lineRule="auto"/>
      <w:ind w:left="4827"/>
      <w:rPr>
        <w:rFonts w:ascii="Cambria" w:hAnsi="Cambria" w:eastAsia="Cambria" w:cs="Cambria"/>
        <w:sz w:val="18"/>
        <w:szCs w:val="18"/>
      </w:rPr>
    </w:pPr>
    <w:r>
      <w:rPr>
        <w:rFonts w:ascii="Cambria" w:hAnsi="Cambria" w:eastAsia="Cambria" w:cs="Cambria"/>
        <w:sz w:val="18"/>
        <w:szCs w:val="18"/>
      </w:rPr>
      <w:t>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8E897D">
    <w:pPr>
      <w:pStyle w:val="12"/>
      <w:spacing w:line="52" w:lineRule="auto"/>
      <w:rPr>
        <w:sz w:val="2"/>
      </w:rPr>
    </w:pPr>
    <w:r>
      <w:pict>
        <v:shape id="_x0000_s4097" o:spid="_x0000_s4097" style="position:absolute;left:0pt;margin-left:88.4pt;margin-top:54.1pt;height:0.75pt;width:418.5pt;mso-position-horizontal-relative:page;mso-position-vertical-relative:page;z-index:251659264;mso-width-relative:page;mso-height-relative:page;" filled="f" stroked="t" coordsize="8370,15" o:allowincell="f" path="m0,7l8369,7e">
          <v:fill on="f" focussize="0,0"/>
          <v:stroke joinstyle="miter"/>
          <v:imagedata o:title=""/>
          <o:lock v:ext="edit"/>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4120DF">
    <w:pPr>
      <w:pStyle w:val="12"/>
      <w:spacing w:line="52" w:lineRule="auto"/>
      <w:rPr>
        <w:sz w:val="2"/>
      </w:rPr>
    </w:pPr>
    <w:r>
      <w:pict>
        <v:shape id="_x0000_s4098" o:spid="_x0000_s4098" style="position:absolute;left:0pt;margin-left:88.4pt;margin-top:54.1pt;height:0.75pt;width:418.5pt;mso-position-horizontal-relative:page;mso-position-vertical-relative:page;z-index:251660288;mso-width-relative:page;mso-height-relative:page;" filled="f" stroked="t" coordsize="8370,15" o:allowincell="f" path="m0,7l8369,7e">
          <v:fill on="f" focussize="0,0"/>
          <v:stroke joinstyle="miter"/>
          <v:imagedata o:title=""/>
          <o:lock v:ext="edi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1E12C6">
    <w:pPr>
      <w:pStyle w:val="12"/>
      <w:spacing w:line="14" w:lineRule="auto"/>
      <w:rPr>
        <w:sz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767413">
    <w:pPr>
      <w:pStyle w:val="12"/>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isplayBackgroundShape w:val="1"/>
  <w:doNotTrackMoves/>
  <w:documentProtection w:enforcement="0"/>
  <w:defaultTabStop w:val="720"/>
  <w:characterSpacingControl w:val="doNotCompress"/>
  <w:hdrShapeDefaults>
    <o:shapelayout v:ext="edit">
      <o:idmap v:ext="edit" data="3,4"/>
    </o:shapelayout>
  </w:hdrShapeDefault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81B0BAD"/>
    <w:rsid w:val="0D0A1648"/>
    <w:rsid w:val="0F9067A2"/>
    <w:rsid w:val="18E177BC"/>
    <w:rsid w:val="1C4701E9"/>
    <w:rsid w:val="1DAF4298"/>
    <w:rsid w:val="294F016B"/>
    <w:rsid w:val="29CE5F60"/>
    <w:rsid w:val="2D376058"/>
    <w:rsid w:val="2E46392A"/>
    <w:rsid w:val="2E9A064C"/>
    <w:rsid w:val="30330D58"/>
    <w:rsid w:val="324D32EC"/>
    <w:rsid w:val="32AB72CC"/>
    <w:rsid w:val="330B560B"/>
    <w:rsid w:val="389425F2"/>
    <w:rsid w:val="3ED53FA0"/>
    <w:rsid w:val="3F0F0BE2"/>
    <w:rsid w:val="43310286"/>
    <w:rsid w:val="4CE2336A"/>
    <w:rsid w:val="4F08489B"/>
    <w:rsid w:val="51BA2C30"/>
    <w:rsid w:val="538434F5"/>
    <w:rsid w:val="553E76D4"/>
    <w:rsid w:val="5D087A97"/>
    <w:rsid w:val="606B60E0"/>
    <w:rsid w:val="609D1752"/>
    <w:rsid w:val="63D7141F"/>
    <w:rsid w:val="656C203B"/>
    <w:rsid w:val="6796339F"/>
    <w:rsid w:val="68B47F81"/>
    <w:rsid w:val="6AB701CA"/>
    <w:rsid w:val="6D2B2A93"/>
    <w:rsid w:val="724063E2"/>
    <w:rsid w:val="73136A7B"/>
    <w:rsid w:val="76DD54BE"/>
    <w:rsid w:val="793A002E"/>
    <w:rsid w:val="7AF2049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097"/>
    <customShpInfo spid="_x0000_s409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5</Pages>
  <Words>1439</Words>
  <Characters>1507</Characters>
  <Lines>0</Lines>
  <Paragraphs>0</Paragraphs>
  <TotalTime>0</TotalTime>
  <ScaleCrop>false</ScaleCrop>
  <LinksUpToDate>false</LinksUpToDate>
  <CharactersWithSpaces>1538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2025-08-19T17:02:00Z</dcterms:created>
  <dc:creator>健 张</dc:creator>
  <cp:lastModifiedBy>nancy杨茜</cp:lastModifiedBy>
  <dcterms:modified xsi:type="dcterms:W3CDTF">2026-01-07T10:47:51Z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2025-08-21T23:19:59Z</vt:filetime>
  </property>
  <property fmtid="{D5CDD505-2E9C-101B-9397-08002B2CF9AE}" pid="3" name="CRO">
    <vt:lpwstr>wqlLaW5nc29mdCBQREYgdG8gV1BTIDExNQ</vt:lpwstr>
  </property>
  <property fmtid="{D5CDD505-2E9C-101B-9397-08002B2CF9AE}" pid="4" name="ICV">
    <vt:lpwstr>8F2E0A1DFA5B4908BF438CFA6DB17F83_12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