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D3C4B">
      <w:pPr>
        <w:pStyle w:val="31"/>
        <w:bidi w:val="0"/>
        <w:rPr>
          <w:rFonts w:hint="eastAsia"/>
          <w:lang w:val="en-US" w:eastAsia="zh-CN"/>
        </w:rPr>
      </w:pPr>
      <w:bookmarkStart w:id="0" w:name="_Toc10709"/>
    </w:p>
    <w:p w14:paraId="49CEB17E">
      <w:pPr>
        <w:pStyle w:val="31"/>
        <w:bidi w:val="0"/>
      </w:pPr>
      <w:r>
        <w:rPr>
          <w:rFonts w:hint="eastAsia"/>
          <w:lang w:val="en-US" w:eastAsia="zh-CN"/>
        </w:rPr>
        <w:t>服务知识</w:t>
      </w:r>
      <w:r>
        <w:t>应用提升情况总结说明</w:t>
      </w:r>
      <w:bookmarkEnd w:id="0"/>
    </w:p>
    <w:p w14:paraId="016ED6C4">
      <w:pPr>
        <w:pStyle w:val="32"/>
        <w:bidi w:val="0"/>
      </w:pPr>
      <w:bookmarkStart w:id="1" w:name="_Toc16135"/>
      <w:r>
        <w:t>甘肃国邦信息科技有限公司</w:t>
      </w:r>
      <w:bookmarkEnd w:id="1"/>
    </w:p>
    <w:p w14:paraId="08372B08">
      <w:pPr>
        <w:spacing w:before="224" w:line="220" w:lineRule="auto"/>
        <w:ind w:left="2745"/>
        <w:rPr>
          <w:rFonts w:ascii="宋体" w:hAnsi="宋体" w:eastAsia="宋体" w:cs="宋体"/>
          <w:sz w:val="36"/>
          <w:szCs w:val="36"/>
        </w:rPr>
      </w:pPr>
      <w:r>
        <w:rPr>
          <w:rFonts w:ascii="宋体" w:hAnsi="宋体" w:eastAsia="宋体" w:cs="宋体"/>
          <w:spacing w:val="-12"/>
          <w:sz w:val="36"/>
          <w:szCs w:val="36"/>
        </w:rPr>
        <w:t>2025</w:t>
      </w:r>
      <w:r>
        <w:rPr>
          <w:rFonts w:ascii="宋体" w:hAnsi="宋体" w:eastAsia="宋体" w:cs="宋体"/>
          <w:spacing w:val="-67"/>
          <w:sz w:val="36"/>
          <w:szCs w:val="36"/>
        </w:rPr>
        <w:t xml:space="preserve"> </w:t>
      </w:r>
      <w:r>
        <w:rPr>
          <w:rFonts w:ascii="宋体" w:hAnsi="宋体" w:eastAsia="宋体" w:cs="宋体"/>
          <w:spacing w:val="-12"/>
          <w:sz w:val="36"/>
          <w:szCs w:val="36"/>
        </w:rPr>
        <w:t>年</w:t>
      </w:r>
      <w:r>
        <w:rPr>
          <w:rFonts w:hint="eastAsia" w:ascii="宋体" w:hAnsi="宋体" w:eastAsia="宋体" w:cs="宋体"/>
          <w:spacing w:val="-12"/>
          <w:sz w:val="36"/>
          <w:szCs w:val="36"/>
          <w:lang w:val="en-US" w:eastAsia="zh-CN"/>
        </w:rPr>
        <w:t>10</w:t>
      </w:r>
      <w:r>
        <w:rPr>
          <w:rFonts w:ascii="宋体" w:hAnsi="宋体" w:eastAsia="宋体" w:cs="宋体"/>
          <w:spacing w:val="-12"/>
          <w:sz w:val="36"/>
          <w:szCs w:val="36"/>
        </w:rPr>
        <w:t>月20日</w:t>
      </w:r>
    </w:p>
    <w:p w14:paraId="4C4D357A">
      <w:pPr>
        <w:spacing w:line="220" w:lineRule="auto"/>
        <w:rPr>
          <w:rFonts w:ascii="宋体" w:hAnsi="宋体" w:eastAsia="宋体" w:cs="宋体"/>
          <w:sz w:val="36"/>
          <w:szCs w:val="36"/>
        </w:rPr>
        <w:sectPr>
          <w:headerReference r:id="rId5" w:type="default"/>
          <w:footerReference r:id="rId6" w:type="default"/>
          <w:pgSz w:w="11906" w:h="16839"/>
          <w:pgMar w:top="1431" w:right="1785" w:bottom="0" w:left="1785" w:header="0" w:footer="0" w:gutter="0"/>
          <w:cols w:space="720" w:num="1"/>
        </w:sectPr>
      </w:pPr>
    </w:p>
    <w:p w14:paraId="214FE2CE">
      <w:pPr>
        <w:spacing w:before="91" w:line="220" w:lineRule="auto"/>
        <w:ind w:left="3781"/>
        <w:outlineLvl w:val="0"/>
        <w:rPr>
          <w:rFonts w:ascii="宋体" w:hAnsi="宋体" w:eastAsia="宋体" w:cs="宋体"/>
          <w:sz w:val="28"/>
          <w:szCs w:val="28"/>
        </w:rPr>
      </w:pPr>
      <w:bookmarkStart w:id="2" w:name="_Toc13366"/>
      <w:r>
        <w:rPr>
          <w:rFonts w:ascii="宋体" w:hAnsi="宋体" w:eastAsia="宋体" w:cs="宋体"/>
          <w:spacing w:val="-3"/>
          <w:sz w:val="28"/>
          <w:szCs w:val="28"/>
        </w:rPr>
        <w:t>文档信息</w:t>
      </w:r>
      <w:bookmarkEnd w:id="2"/>
    </w:p>
    <w:p w14:paraId="2EA84909">
      <w:pPr>
        <w:spacing w:line="117" w:lineRule="exact"/>
      </w:pPr>
    </w:p>
    <w:tbl>
      <w:tblPr>
        <w:tblStyle w:val="24"/>
        <w:tblW w:w="864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24FA1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32C24486">
            <w:pPr>
              <w:pStyle w:val="25"/>
              <w:spacing w:before="139" w:line="220" w:lineRule="auto"/>
              <w:ind w:left="225"/>
            </w:pPr>
            <w:r>
              <w:rPr>
                <w:spacing w:val="-2"/>
              </w:rPr>
              <w:t>文档名称编号</w:t>
            </w:r>
          </w:p>
        </w:tc>
        <w:tc>
          <w:tcPr>
            <w:tcW w:w="6942" w:type="dxa"/>
            <w:gridSpan w:val="4"/>
          </w:tcPr>
          <w:p w14:paraId="01034585">
            <w:pPr>
              <w:pStyle w:val="25"/>
              <w:spacing w:before="139" w:line="220" w:lineRule="auto"/>
              <w:ind w:left="112"/>
            </w:pPr>
            <w:r>
              <w:rPr>
                <w:rFonts w:hint="eastAsia"/>
                <w:spacing w:val="-1"/>
                <w:lang w:eastAsia="zh-CN"/>
              </w:rPr>
              <w:t>服务知识</w:t>
            </w:r>
            <w:r>
              <w:rPr>
                <w:spacing w:val="-1"/>
              </w:rPr>
              <w:t>应用提升情况总结说明</w:t>
            </w:r>
          </w:p>
        </w:tc>
      </w:tr>
      <w:tr w14:paraId="43678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1236936A">
            <w:pPr>
              <w:pStyle w:val="25"/>
              <w:spacing w:before="136" w:line="220" w:lineRule="auto"/>
              <w:ind w:left="435"/>
            </w:pPr>
            <w:r>
              <w:rPr>
                <w:spacing w:val="-2"/>
              </w:rPr>
              <w:t>编制单位</w:t>
            </w:r>
          </w:p>
        </w:tc>
        <w:tc>
          <w:tcPr>
            <w:tcW w:w="6942" w:type="dxa"/>
            <w:gridSpan w:val="4"/>
          </w:tcPr>
          <w:p w14:paraId="20FE7542">
            <w:pPr>
              <w:pStyle w:val="25"/>
              <w:spacing w:before="137" w:line="219" w:lineRule="auto"/>
              <w:ind w:left="108"/>
            </w:pPr>
            <w:r>
              <w:rPr>
                <w:spacing w:val="-1"/>
              </w:rPr>
              <w:t>甘肃国邦信息科技有限公司</w:t>
            </w:r>
          </w:p>
        </w:tc>
      </w:tr>
      <w:tr w14:paraId="4F423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778CCF26">
            <w:pPr>
              <w:pStyle w:val="25"/>
              <w:spacing w:before="139" w:line="219" w:lineRule="auto"/>
              <w:ind w:left="435"/>
            </w:pPr>
            <w:r>
              <w:rPr>
                <w:spacing w:val="-2"/>
              </w:rPr>
              <w:t>文档版本</w:t>
            </w:r>
          </w:p>
        </w:tc>
        <w:tc>
          <w:tcPr>
            <w:tcW w:w="1558" w:type="dxa"/>
          </w:tcPr>
          <w:p w14:paraId="7B7BCC2C">
            <w:pPr>
              <w:pStyle w:val="25"/>
              <w:spacing w:before="139" w:line="219" w:lineRule="auto"/>
              <w:ind w:left="361"/>
            </w:pPr>
            <w:r>
              <w:rPr>
                <w:spacing w:val="-2"/>
              </w:rPr>
              <w:t>版本日期</w:t>
            </w:r>
          </w:p>
        </w:tc>
        <w:tc>
          <w:tcPr>
            <w:tcW w:w="2123" w:type="dxa"/>
          </w:tcPr>
          <w:p w14:paraId="4995E425">
            <w:pPr>
              <w:pStyle w:val="25"/>
              <w:spacing w:before="139" w:line="219" w:lineRule="auto"/>
              <w:ind w:left="646"/>
            </w:pPr>
            <w:r>
              <w:rPr>
                <w:spacing w:val="-2"/>
              </w:rPr>
              <w:t>版本说明</w:t>
            </w:r>
          </w:p>
        </w:tc>
        <w:tc>
          <w:tcPr>
            <w:tcW w:w="1699" w:type="dxa"/>
          </w:tcPr>
          <w:p w14:paraId="10929072">
            <w:pPr>
              <w:pStyle w:val="25"/>
              <w:spacing w:before="139" w:line="220" w:lineRule="auto"/>
              <w:ind w:left="594"/>
            </w:pPr>
            <w:r>
              <w:rPr>
                <w:spacing w:val="-5"/>
              </w:rPr>
              <w:t>作</w:t>
            </w:r>
            <w:r>
              <w:rPr>
                <w:spacing w:val="9"/>
              </w:rPr>
              <w:t xml:space="preserve"> </w:t>
            </w:r>
            <w:r>
              <w:rPr>
                <w:spacing w:val="-5"/>
              </w:rPr>
              <w:t>者</w:t>
            </w:r>
          </w:p>
        </w:tc>
        <w:tc>
          <w:tcPr>
            <w:tcW w:w="1562" w:type="dxa"/>
          </w:tcPr>
          <w:p w14:paraId="66D1D849">
            <w:pPr>
              <w:pStyle w:val="25"/>
              <w:spacing w:before="139" w:line="220" w:lineRule="auto"/>
              <w:ind w:left="587"/>
            </w:pPr>
            <w:r>
              <w:rPr>
                <w:spacing w:val="-5"/>
              </w:rPr>
              <w:t>审核</w:t>
            </w:r>
          </w:p>
        </w:tc>
      </w:tr>
      <w:tr w14:paraId="6F6C3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5E406C5">
            <w:pPr>
              <w:pStyle w:val="25"/>
              <w:spacing w:before="104" w:line="239" w:lineRule="auto"/>
              <w:ind w:left="638"/>
            </w:pPr>
            <w:r>
              <w:rPr>
                <w:spacing w:val="-1"/>
              </w:rPr>
              <w:t>V1.0</w:t>
            </w:r>
          </w:p>
        </w:tc>
        <w:tc>
          <w:tcPr>
            <w:tcW w:w="1558" w:type="dxa"/>
          </w:tcPr>
          <w:p w14:paraId="587E7C2E">
            <w:pPr>
              <w:pStyle w:val="25"/>
              <w:spacing w:before="104"/>
              <w:ind w:left="362"/>
              <w:rPr>
                <w:rFonts w:hint="eastAsia" w:eastAsia="宋体"/>
                <w:lang w:val="en-US" w:eastAsia="zh-CN"/>
              </w:rPr>
            </w:pPr>
            <w:r>
              <w:rPr>
                <w:spacing w:val="-2"/>
              </w:rPr>
              <w:t>2025-</w:t>
            </w:r>
            <w:r>
              <w:rPr>
                <w:rFonts w:hint="eastAsia"/>
                <w:spacing w:val="-2"/>
                <w:lang w:val="en-US" w:eastAsia="zh-CN"/>
              </w:rPr>
              <w:t>10</w:t>
            </w:r>
            <w:r>
              <w:rPr>
                <w:spacing w:val="-2"/>
              </w:rPr>
              <w:t>-2</w:t>
            </w:r>
            <w:r>
              <w:rPr>
                <w:rFonts w:hint="eastAsia"/>
                <w:spacing w:val="-2"/>
                <w:lang w:val="en-US" w:eastAsia="zh-CN"/>
              </w:rPr>
              <w:t>0</w:t>
            </w:r>
          </w:p>
        </w:tc>
        <w:tc>
          <w:tcPr>
            <w:tcW w:w="2123" w:type="dxa"/>
          </w:tcPr>
          <w:p w14:paraId="60FD222F">
            <w:pPr>
              <w:pStyle w:val="25"/>
              <w:spacing w:before="74" w:line="219" w:lineRule="auto"/>
              <w:ind w:left="648"/>
            </w:pPr>
            <w:r>
              <w:rPr>
                <w:spacing w:val="-3"/>
              </w:rPr>
              <w:t>发布版本</w:t>
            </w:r>
          </w:p>
        </w:tc>
        <w:tc>
          <w:tcPr>
            <w:tcW w:w="1699" w:type="dxa"/>
          </w:tcPr>
          <w:p w14:paraId="547E412F">
            <w:pPr>
              <w:pStyle w:val="25"/>
              <w:spacing w:before="75" w:line="220" w:lineRule="auto"/>
              <w:ind w:left="551"/>
              <w:rPr>
                <w:rFonts w:hint="eastAsia" w:eastAsia="宋体"/>
                <w:lang w:eastAsia="zh-CN"/>
              </w:rPr>
            </w:pPr>
            <w:r>
              <w:rPr>
                <w:rFonts w:hint="eastAsia"/>
                <w:spacing w:val="-5"/>
                <w:lang w:val="en-US" w:eastAsia="zh-CN"/>
              </w:rPr>
              <w:t>胡葛鹏宇</w:t>
            </w:r>
          </w:p>
        </w:tc>
        <w:tc>
          <w:tcPr>
            <w:tcW w:w="1562" w:type="dxa"/>
          </w:tcPr>
          <w:p w14:paraId="43E7BD4C">
            <w:pPr>
              <w:pStyle w:val="25"/>
              <w:spacing w:before="74" w:line="220" w:lineRule="auto"/>
              <w:ind w:left="476"/>
            </w:pPr>
            <w:r>
              <w:rPr>
                <w:spacing w:val="-3"/>
              </w:rPr>
              <w:t>黄益溪</w:t>
            </w:r>
          </w:p>
        </w:tc>
      </w:tr>
      <w:tr w14:paraId="4903E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BD1359F">
            <w:pPr>
              <w:rPr>
                <w:rFonts w:ascii="Arial"/>
                <w:sz w:val="21"/>
              </w:rPr>
            </w:pPr>
          </w:p>
        </w:tc>
        <w:tc>
          <w:tcPr>
            <w:tcW w:w="1558" w:type="dxa"/>
          </w:tcPr>
          <w:p w14:paraId="7B1F44AD">
            <w:pPr>
              <w:rPr>
                <w:rFonts w:ascii="Arial"/>
                <w:sz w:val="21"/>
              </w:rPr>
            </w:pPr>
          </w:p>
        </w:tc>
        <w:tc>
          <w:tcPr>
            <w:tcW w:w="2123" w:type="dxa"/>
          </w:tcPr>
          <w:p w14:paraId="73B41682">
            <w:pPr>
              <w:rPr>
                <w:rFonts w:ascii="Arial"/>
                <w:sz w:val="21"/>
              </w:rPr>
            </w:pPr>
          </w:p>
        </w:tc>
        <w:tc>
          <w:tcPr>
            <w:tcW w:w="1699" w:type="dxa"/>
          </w:tcPr>
          <w:p w14:paraId="76F170E2">
            <w:pPr>
              <w:rPr>
                <w:rFonts w:ascii="Arial"/>
                <w:sz w:val="21"/>
              </w:rPr>
            </w:pPr>
          </w:p>
        </w:tc>
        <w:tc>
          <w:tcPr>
            <w:tcW w:w="1562" w:type="dxa"/>
          </w:tcPr>
          <w:p w14:paraId="4B33B049">
            <w:pPr>
              <w:rPr>
                <w:rFonts w:ascii="Arial"/>
                <w:sz w:val="21"/>
              </w:rPr>
            </w:pPr>
          </w:p>
        </w:tc>
      </w:tr>
      <w:tr w14:paraId="3B582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7107F546">
            <w:pPr>
              <w:rPr>
                <w:rFonts w:ascii="Arial"/>
                <w:sz w:val="21"/>
              </w:rPr>
            </w:pPr>
          </w:p>
        </w:tc>
        <w:tc>
          <w:tcPr>
            <w:tcW w:w="1558" w:type="dxa"/>
          </w:tcPr>
          <w:p w14:paraId="03D50F57">
            <w:pPr>
              <w:rPr>
                <w:rFonts w:ascii="Arial"/>
                <w:sz w:val="21"/>
              </w:rPr>
            </w:pPr>
          </w:p>
        </w:tc>
        <w:tc>
          <w:tcPr>
            <w:tcW w:w="2123" w:type="dxa"/>
          </w:tcPr>
          <w:p w14:paraId="0BF85846">
            <w:pPr>
              <w:rPr>
                <w:rFonts w:ascii="Arial"/>
                <w:sz w:val="21"/>
              </w:rPr>
            </w:pPr>
          </w:p>
        </w:tc>
        <w:tc>
          <w:tcPr>
            <w:tcW w:w="1699" w:type="dxa"/>
          </w:tcPr>
          <w:p w14:paraId="6B9D7481">
            <w:pPr>
              <w:rPr>
                <w:rFonts w:ascii="Arial"/>
                <w:sz w:val="21"/>
              </w:rPr>
            </w:pPr>
          </w:p>
        </w:tc>
        <w:tc>
          <w:tcPr>
            <w:tcW w:w="1562" w:type="dxa"/>
          </w:tcPr>
          <w:p w14:paraId="77C362B7">
            <w:pPr>
              <w:rPr>
                <w:rFonts w:ascii="Arial"/>
                <w:sz w:val="21"/>
              </w:rPr>
            </w:pPr>
          </w:p>
        </w:tc>
      </w:tr>
      <w:tr w14:paraId="41AF8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7B499118">
            <w:pPr>
              <w:rPr>
                <w:rFonts w:ascii="Arial"/>
                <w:sz w:val="21"/>
              </w:rPr>
            </w:pPr>
          </w:p>
        </w:tc>
        <w:tc>
          <w:tcPr>
            <w:tcW w:w="1558" w:type="dxa"/>
          </w:tcPr>
          <w:p w14:paraId="0211349E">
            <w:pPr>
              <w:rPr>
                <w:rFonts w:ascii="Arial"/>
                <w:sz w:val="21"/>
              </w:rPr>
            </w:pPr>
          </w:p>
        </w:tc>
        <w:tc>
          <w:tcPr>
            <w:tcW w:w="2123" w:type="dxa"/>
          </w:tcPr>
          <w:p w14:paraId="0BEE1B6A">
            <w:pPr>
              <w:rPr>
                <w:rFonts w:ascii="Arial"/>
                <w:sz w:val="21"/>
              </w:rPr>
            </w:pPr>
          </w:p>
        </w:tc>
        <w:tc>
          <w:tcPr>
            <w:tcW w:w="1699" w:type="dxa"/>
          </w:tcPr>
          <w:p w14:paraId="741286ED">
            <w:pPr>
              <w:rPr>
                <w:rFonts w:ascii="Arial"/>
                <w:sz w:val="21"/>
              </w:rPr>
            </w:pPr>
          </w:p>
        </w:tc>
        <w:tc>
          <w:tcPr>
            <w:tcW w:w="1562" w:type="dxa"/>
          </w:tcPr>
          <w:p w14:paraId="6B950869">
            <w:pPr>
              <w:rPr>
                <w:rFonts w:ascii="Arial"/>
                <w:sz w:val="21"/>
              </w:rPr>
            </w:pPr>
          </w:p>
        </w:tc>
      </w:tr>
    </w:tbl>
    <w:p w14:paraId="70D6F6D6">
      <w:pPr>
        <w:pStyle w:val="12"/>
      </w:pPr>
    </w:p>
    <w:p w14:paraId="73D10356">
      <w:r>
        <w:br w:type="page"/>
      </w:r>
    </w:p>
    <w:sdt>
      <w:sdtPr>
        <w:rPr>
          <w:rFonts w:ascii="宋体" w:hAnsi="宋体" w:eastAsia="宋体" w:cs="Arial"/>
          <w:snapToGrid w:val="0"/>
          <w:color w:val="000000"/>
          <w:kern w:val="0"/>
          <w:sz w:val="21"/>
          <w:szCs w:val="21"/>
          <w:lang w:val="en-US" w:eastAsia="en-US" w:bidi="ar-SA"/>
        </w:rPr>
        <w:id w:val="147475748"/>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4EF805E5">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7A10C91A">
          <w:pPr>
            <w:pStyle w:val="16"/>
            <w:tabs>
              <w:tab w:val="right" w:leader="dot" w:pos="8658"/>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_Toc10709 </w:instrText>
          </w:r>
          <w:r>
            <w:rPr>
              <w:rFonts w:hint="eastAsia" w:ascii="Microsoft JhengHei" w:hAnsi="Microsoft JhengHei" w:eastAsia="Microsoft JhengHei" w:cs="Microsoft JhengHei"/>
              <w:szCs w:val="24"/>
            </w:rPr>
            <w:fldChar w:fldCharType="separate"/>
          </w:r>
          <w:r>
            <w:rPr>
              <w:rFonts w:hint="eastAsia"/>
              <w:lang w:val="en-US" w:eastAsia="zh-CN"/>
            </w:rPr>
            <w:t>服务知识</w:t>
          </w:r>
          <w:r>
            <w:t>应用提升情况总结说明</w:t>
          </w:r>
          <w:r>
            <w:tab/>
          </w:r>
          <w:r>
            <w:fldChar w:fldCharType="begin"/>
          </w:r>
          <w:r>
            <w:instrText xml:space="preserve"> PAGEREF _Toc10709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2B8B67A">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_Toc16135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_Toc16135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602A8E1">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_Toc13366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_Toc13366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3503A853">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_Toc16710 </w:instrText>
          </w:r>
          <w:r>
            <w:rPr>
              <w:rFonts w:hint="eastAsia" w:ascii="Microsoft JhengHei" w:hAnsi="Microsoft JhengHei" w:eastAsia="Microsoft JhengHei" w:cs="Microsoft JhengHei"/>
              <w:szCs w:val="24"/>
            </w:rPr>
            <w:fldChar w:fldCharType="separate"/>
          </w:r>
          <w:r>
            <w:rPr>
              <w:rFonts w:hint="default"/>
            </w:rPr>
            <w:t xml:space="preserve">1. </w:t>
          </w:r>
          <w:r>
            <w:rPr>
              <w:rFonts w:hint="eastAsia"/>
              <w:lang w:val="en-US" w:eastAsia="zh-CN"/>
            </w:rPr>
            <w:t>服务知识</w:t>
          </w:r>
          <w:r>
            <w:t>概况</w:t>
          </w:r>
          <w:r>
            <w:tab/>
          </w:r>
          <w:r>
            <w:fldChar w:fldCharType="begin"/>
          </w:r>
          <w:r>
            <w:instrText xml:space="preserve"> PAGEREF _Toc16710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E2BA897">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_Toc29550 </w:instrText>
          </w:r>
          <w:r>
            <w:rPr>
              <w:rFonts w:hint="eastAsia" w:ascii="Microsoft JhengHei" w:hAnsi="Microsoft JhengHei" w:eastAsia="Microsoft JhengHei" w:cs="Microsoft JhengHei"/>
              <w:szCs w:val="24"/>
            </w:rPr>
            <w:fldChar w:fldCharType="separate"/>
          </w:r>
          <w:r>
            <w:rPr>
              <w:rFonts w:hint="default"/>
            </w:rPr>
            <w:t xml:space="preserve">2. </w:t>
          </w:r>
          <w:r>
            <w:rPr>
              <w:rFonts w:hint="eastAsia"/>
              <w:lang w:eastAsia="zh-CN"/>
            </w:rPr>
            <w:t>服务知识</w:t>
          </w:r>
          <w:r>
            <w:t>的管理</w:t>
          </w:r>
          <w:r>
            <w:tab/>
          </w:r>
          <w:r>
            <w:fldChar w:fldCharType="begin"/>
          </w:r>
          <w:r>
            <w:instrText xml:space="preserve"> PAGEREF _Toc29550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BB326F1">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_Toc13156 </w:instrText>
          </w:r>
          <w:r>
            <w:rPr>
              <w:rFonts w:hint="eastAsia" w:ascii="Microsoft JhengHei" w:hAnsi="Microsoft JhengHei" w:eastAsia="Microsoft JhengHei" w:cs="Microsoft JhengHei"/>
              <w:szCs w:val="24"/>
            </w:rPr>
            <w:fldChar w:fldCharType="separate"/>
          </w:r>
          <w:r>
            <w:rPr>
              <w:rFonts w:hint="default"/>
            </w:rPr>
            <w:t xml:space="preserve">2.1. </w:t>
          </w:r>
          <w:r>
            <w:t>知识及经验的积累</w:t>
          </w:r>
          <w:r>
            <w:tab/>
          </w:r>
          <w:r>
            <w:fldChar w:fldCharType="begin"/>
          </w:r>
          <w:r>
            <w:instrText xml:space="preserve"> PAGEREF _Toc13156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1843D6C">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_Toc2278 </w:instrText>
          </w:r>
          <w:r>
            <w:rPr>
              <w:rFonts w:hint="eastAsia" w:ascii="Microsoft JhengHei" w:hAnsi="Microsoft JhengHei" w:eastAsia="Microsoft JhengHei" w:cs="Microsoft JhengHei"/>
              <w:szCs w:val="24"/>
            </w:rPr>
            <w:fldChar w:fldCharType="separate"/>
          </w:r>
          <w:r>
            <w:rPr>
              <w:rFonts w:hint="default"/>
            </w:rPr>
            <w:t xml:space="preserve">2.2. </w:t>
          </w:r>
          <w:r>
            <w:t>新员工的培养</w:t>
          </w:r>
          <w:r>
            <w:tab/>
          </w:r>
          <w:r>
            <w:fldChar w:fldCharType="begin"/>
          </w:r>
          <w:r>
            <w:instrText xml:space="preserve"> PAGEREF _Toc2278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8E33005">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_Toc15906 </w:instrText>
          </w:r>
          <w:r>
            <w:rPr>
              <w:rFonts w:hint="eastAsia" w:ascii="Microsoft JhengHei" w:hAnsi="Microsoft JhengHei" w:eastAsia="Microsoft JhengHei" w:cs="Microsoft JhengHei"/>
              <w:szCs w:val="24"/>
            </w:rPr>
            <w:fldChar w:fldCharType="separate"/>
          </w:r>
          <w:r>
            <w:rPr>
              <w:rFonts w:hint="default"/>
            </w:rPr>
            <w:t xml:space="preserve">2.3. </w:t>
          </w:r>
          <w:r>
            <w:t>知识和经验的传承</w:t>
          </w:r>
          <w:r>
            <w:tab/>
          </w:r>
          <w:r>
            <w:fldChar w:fldCharType="begin"/>
          </w:r>
          <w:r>
            <w:instrText xml:space="preserve"> PAGEREF _Toc15906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9226F5B">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_Toc23385 </w:instrText>
          </w:r>
          <w:r>
            <w:rPr>
              <w:rFonts w:hint="eastAsia" w:ascii="Microsoft JhengHei" w:hAnsi="Microsoft JhengHei" w:eastAsia="Microsoft JhengHei" w:cs="Microsoft JhengHei"/>
              <w:szCs w:val="24"/>
            </w:rPr>
            <w:fldChar w:fldCharType="separate"/>
          </w:r>
          <w:r>
            <w:rPr>
              <w:rFonts w:hint="default"/>
            </w:rPr>
            <w:t xml:space="preserve">2.4. </w:t>
          </w:r>
          <w:r>
            <w:t>建设公司的文化</w:t>
          </w:r>
          <w:r>
            <w:tab/>
          </w:r>
          <w:r>
            <w:fldChar w:fldCharType="begin"/>
          </w:r>
          <w:r>
            <w:instrText xml:space="preserve"> PAGEREF _Toc23385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6EE91F1">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_Toc29282 </w:instrText>
          </w:r>
          <w:r>
            <w:rPr>
              <w:rFonts w:hint="eastAsia" w:ascii="Microsoft JhengHei" w:hAnsi="Microsoft JhengHei" w:eastAsia="Microsoft JhengHei" w:cs="Microsoft JhengHei"/>
              <w:szCs w:val="24"/>
            </w:rPr>
            <w:fldChar w:fldCharType="separate"/>
          </w:r>
          <w:r>
            <w:rPr>
              <w:rFonts w:hint="default"/>
            </w:rPr>
            <w:t xml:space="preserve">2.5. </w:t>
          </w:r>
          <w:r>
            <w:t>有效提升工作效率</w:t>
          </w:r>
          <w:r>
            <w:tab/>
          </w:r>
          <w:r>
            <w:fldChar w:fldCharType="begin"/>
          </w:r>
          <w:r>
            <w:instrText xml:space="preserve"> PAGEREF _Toc29282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FC4DC45">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_Toc12519 </w:instrText>
          </w:r>
          <w:r>
            <w:rPr>
              <w:rFonts w:hint="eastAsia" w:ascii="Microsoft JhengHei" w:hAnsi="Microsoft JhengHei" w:eastAsia="Microsoft JhengHei" w:cs="Microsoft JhengHei"/>
              <w:szCs w:val="24"/>
            </w:rPr>
            <w:fldChar w:fldCharType="separate"/>
          </w:r>
          <w:r>
            <w:rPr>
              <w:rFonts w:hint="default"/>
              <w:lang w:val="en-US" w:eastAsia="zh-CN"/>
            </w:rPr>
            <w:t xml:space="preserve">2.6. </w:t>
          </w:r>
          <w:r>
            <w:rPr>
              <w:rFonts w:hint="eastAsia"/>
              <w:lang w:val="en-US" w:eastAsia="zh-CN"/>
            </w:rPr>
            <w:t>指标完成情况</w:t>
          </w:r>
          <w:r>
            <w:tab/>
          </w:r>
          <w:r>
            <w:fldChar w:fldCharType="begin"/>
          </w:r>
          <w:r>
            <w:instrText xml:space="preserve"> PAGEREF _Toc12519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95D76F0">
          <w:pPr>
            <w:rPr>
              <w:rFonts w:ascii="Arial" w:hAnsi="Arial" w:eastAsia="Arial" w:cs="Arial"/>
              <w:snapToGrid w:val="0"/>
              <w:color w:val="000000"/>
              <w:kern w:val="0"/>
              <w:sz w:val="21"/>
              <w:szCs w:val="21"/>
              <w:lang w:val="en-US" w:eastAsia="en-US" w:bidi="ar-SA"/>
            </w:rPr>
          </w:pPr>
          <w:r>
            <w:rPr>
              <w:rFonts w:hint="eastAsia" w:ascii="Microsoft JhengHei" w:hAnsi="Microsoft JhengHei" w:eastAsia="Microsoft JhengHei" w:cs="Microsoft JhengHei"/>
              <w:szCs w:val="24"/>
            </w:rPr>
            <w:fldChar w:fldCharType="end"/>
          </w:r>
        </w:p>
      </w:sdtContent>
    </w:sdt>
    <w:p w14:paraId="76E3C8F4">
      <w:pPr>
        <w:rPr>
          <w:rFonts w:ascii="Arial" w:hAnsi="Arial" w:eastAsia="Arial" w:cs="Arial"/>
          <w:snapToGrid w:val="0"/>
          <w:color w:val="000000"/>
          <w:kern w:val="0"/>
          <w:sz w:val="21"/>
          <w:szCs w:val="21"/>
          <w:lang w:val="en-US" w:eastAsia="en-US" w:bidi="ar-SA"/>
        </w:rPr>
        <w:sectPr>
          <w:headerReference r:id="rId7" w:type="default"/>
          <w:footerReference r:id="rId8" w:type="default"/>
          <w:pgSz w:w="11906" w:h="16839"/>
          <w:pgMar w:top="1240" w:right="1624" w:bottom="1157" w:left="1624" w:header="0" w:footer="990" w:gutter="0"/>
          <w:cols w:space="720" w:num="1"/>
        </w:sectPr>
      </w:pPr>
    </w:p>
    <w:p w14:paraId="2DFC7CEE">
      <w:pPr>
        <w:pStyle w:val="26"/>
        <w:bidi w:val="0"/>
      </w:pPr>
      <w:bookmarkStart w:id="3" w:name="_Toc16710"/>
      <w:r>
        <w:rPr>
          <w:rFonts w:hint="eastAsia"/>
          <w:lang w:val="en-US" w:eastAsia="zh-CN"/>
        </w:rPr>
        <w:t>服</w:t>
      </w:r>
      <w:bookmarkStart w:id="11" w:name="_GoBack"/>
      <w:bookmarkEnd w:id="11"/>
      <w:r>
        <w:rPr>
          <w:rFonts w:hint="eastAsia"/>
          <w:lang w:val="en-US" w:eastAsia="zh-CN"/>
        </w:rPr>
        <w:t>务知识</w:t>
      </w:r>
      <w:r>
        <w:t>概况</w:t>
      </w:r>
      <w:bookmarkEnd w:id="3"/>
    </w:p>
    <w:p w14:paraId="6F3B725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w:t>
      </w:r>
      <w:r>
        <w:rPr>
          <w:rFonts w:ascii="宋体" w:hAnsi="宋体" w:eastAsia="宋体" w:cs="宋体"/>
          <w:spacing w:val="-1"/>
          <w:sz w:val="24"/>
          <w:szCs w:val="24"/>
        </w:rPr>
        <w:t>是知识工程中结构化，易操作，易利用，全面有组织的</w:t>
      </w:r>
      <w:r>
        <w:rPr>
          <w:rFonts w:hint="eastAsia" w:ascii="宋体" w:hAnsi="宋体" w:eastAsia="宋体" w:cs="宋体"/>
          <w:sz w:val="24"/>
          <w:szCs w:val="24"/>
          <w:lang w:eastAsia="zh-CN"/>
        </w:rPr>
        <w:t>服务知识</w:t>
      </w:r>
      <w:r>
        <w:rPr>
          <w:rFonts w:ascii="宋体" w:hAnsi="宋体" w:eastAsia="宋体" w:cs="宋体"/>
          <w:sz w:val="24"/>
          <w:szCs w:val="24"/>
        </w:rPr>
        <w:t>集群，是针对某一(或某些)领域问题求解</w:t>
      </w:r>
      <w:r>
        <w:rPr>
          <w:rFonts w:ascii="宋体" w:hAnsi="宋体" w:eastAsia="宋体" w:cs="宋体"/>
          <w:spacing w:val="-1"/>
          <w:sz w:val="24"/>
          <w:szCs w:val="24"/>
        </w:rPr>
        <w:t>的需要，采用某种(或若干)</w:t>
      </w:r>
      <w:r>
        <w:rPr>
          <w:rFonts w:hint="eastAsia" w:ascii="宋体" w:hAnsi="宋体" w:eastAsia="宋体" w:cs="宋体"/>
          <w:spacing w:val="-1"/>
          <w:sz w:val="24"/>
          <w:szCs w:val="24"/>
          <w:lang w:eastAsia="zh-CN"/>
        </w:rPr>
        <w:t>服务知识</w:t>
      </w:r>
      <w:r>
        <w:rPr>
          <w:rFonts w:ascii="宋体" w:hAnsi="宋体" w:eastAsia="宋体" w:cs="宋体"/>
          <w:sz w:val="24"/>
          <w:szCs w:val="24"/>
        </w:rPr>
        <w:t>表示方式在计算机存储器中存储、组织、</w:t>
      </w:r>
      <w:r>
        <w:rPr>
          <w:rFonts w:ascii="宋体" w:hAnsi="宋体" w:eastAsia="宋体" w:cs="宋体"/>
          <w:spacing w:val="-1"/>
          <w:sz w:val="24"/>
          <w:szCs w:val="24"/>
        </w:rPr>
        <w:t>管理和使用的互相联系的</w:t>
      </w:r>
      <w:r>
        <w:rPr>
          <w:rFonts w:hint="eastAsia" w:ascii="宋体" w:hAnsi="宋体" w:eastAsia="宋体" w:cs="宋体"/>
          <w:spacing w:val="-1"/>
          <w:sz w:val="24"/>
          <w:szCs w:val="24"/>
          <w:lang w:eastAsia="zh-CN"/>
        </w:rPr>
        <w:t>服务知识</w:t>
      </w:r>
      <w:r>
        <w:rPr>
          <w:rFonts w:ascii="宋体" w:hAnsi="宋体" w:eastAsia="宋体" w:cs="宋体"/>
          <w:sz w:val="24"/>
          <w:szCs w:val="24"/>
        </w:rPr>
        <w:t>片集合。这些</w:t>
      </w:r>
      <w:r>
        <w:rPr>
          <w:rFonts w:hint="eastAsia" w:ascii="宋体" w:hAnsi="宋体" w:eastAsia="宋体" w:cs="宋体"/>
          <w:sz w:val="24"/>
          <w:szCs w:val="24"/>
          <w:lang w:val="en-US" w:eastAsia="zh-CN"/>
        </w:rPr>
        <w:t>知识</w:t>
      </w:r>
      <w:r>
        <w:rPr>
          <w:rFonts w:ascii="宋体" w:hAnsi="宋体" w:eastAsia="宋体" w:cs="宋体"/>
          <w:sz w:val="24"/>
          <w:szCs w:val="24"/>
        </w:rPr>
        <w:t>包括与领域相关的理论</w:t>
      </w:r>
      <w:r>
        <w:rPr>
          <w:rFonts w:hint="eastAsia" w:ascii="宋体" w:hAnsi="宋体" w:eastAsia="宋体" w:cs="宋体"/>
          <w:spacing w:val="-1"/>
          <w:sz w:val="24"/>
          <w:szCs w:val="24"/>
          <w:lang w:val="en-US" w:eastAsia="zh-CN"/>
        </w:rPr>
        <w:t>服务知识</w:t>
      </w:r>
      <w:r>
        <w:rPr>
          <w:rFonts w:ascii="宋体" w:hAnsi="宋体" w:eastAsia="宋体" w:cs="宋体"/>
          <w:spacing w:val="-1"/>
          <w:sz w:val="24"/>
          <w:szCs w:val="24"/>
        </w:rPr>
        <w:t>、事实数据，由专家经验</w:t>
      </w:r>
      <w:r>
        <w:rPr>
          <w:rFonts w:ascii="宋体" w:hAnsi="宋体" w:eastAsia="宋体" w:cs="宋体"/>
          <w:sz w:val="24"/>
          <w:szCs w:val="24"/>
        </w:rPr>
        <w:t>得到的启发式</w:t>
      </w:r>
      <w:r>
        <w:rPr>
          <w:rFonts w:hint="eastAsia" w:ascii="宋体" w:hAnsi="宋体" w:eastAsia="宋体" w:cs="宋体"/>
          <w:sz w:val="24"/>
          <w:szCs w:val="24"/>
          <w:lang w:val="en-US" w:eastAsia="zh-CN"/>
        </w:rPr>
        <w:t>服务知识</w:t>
      </w:r>
      <w:r>
        <w:rPr>
          <w:rFonts w:ascii="宋体" w:hAnsi="宋体" w:eastAsia="宋体" w:cs="宋体"/>
          <w:sz w:val="24"/>
          <w:szCs w:val="24"/>
        </w:rPr>
        <w:t>，如某领域内有关的定义</w:t>
      </w:r>
      <w:r>
        <w:rPr>
          <w:rFonts w:ascii="宋体" w:hAnsi="宋体" w:eastAsia="宋体" w:cs="宋体"/>
          <w:spacing w:val="-1"/>
          <w:sz w:val="24"/>
          <w:szCs w:val="24"/>
        </w:rPr>
        <w:t>、定理和运算法则以及常识性</w:t>
      </w:r>
      <w:r>
        <w:rPr>
          <w:rFonts w:hint="eastAsia" w:ascii="宋体" w:hAnsi="宋体" w:eastAsia="宋体" w:cs="宋体"/>
          <w:spacing w:val="-1"/>
          <w:sz w:val="24"/>
          <w:szCs w:val="24"/>
          <w:lang w:eastAsia="zh-CN"/>
        </w:rPr>
        <w:t>服务知识</w:t>
      </w:r>
      <w:r>
        <w:rPr>
          <w:rFonts w:ascii="宋体" w:hAnsi="宋体" w:eastAsia="宋体" w:cs="宋体"/>
          <w:spacing w:val="-10"/>
          <w:sz w:val="24"/>
          <w:szCs w:val="24"/>
        </w:rPr>
        <w:t>等。</w:t>
      </w:r>
    </w:p>
    <w:p w14:paraId="085018C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公司</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，其中技术知识类文档包括：技术合同、学习文档、技术方案、</w:t>
      </w:r>
      <w:r>
        <w:rPr>
          <w:rFonts w:ascii="宋体" w:hAnsi="宋体" w:eastAsia="宋体" w:cs="宋体"/>
          <w:sz w:val="24"/>
          <w:szCs w:val="24"/>
        </w:rPr>
        <w:t>问题解决方案、产品白皮书、使用手册、操作手册</w:t>
      </w:r>
      <w:r>
        <w:rPr>
          <w:rFonts w:ascii="宋体" w:hAnsi="宋体" w:eastAsia="宋体" w:cs="宋体"/>
          <w:spacing w:val="-1"/>
          <w:sz w:val="24"/>
          <w:szCs w:val="24"/>
        </w:rPr>
        <w:t>、技术类项目管理过程中各</w:t>
      </w:r>
      <w:r>
        <w:rPr>
          <w:rFonts w:ascii="宋体" w:hAnsi="宋体" w:eastAsia="宋体" w:cs="宋体"/>
          <w:spacing w:val="-2"/>
          <w:sz w:val="24"/>
          <w:szCs w:val="24"/>
        </w:rPr>
        <w:t>个环节所形成的管理文档、技术方案及其它形式的文档材料等。</w:t>
      </w:r>
    </w:p>
    <w:p w14:paraId="6D5C1DF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日常工作案例、技术问题、技术/用户手册及相关的说明文档都可以作为知识纳入</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。知识按照技术服务的对象的不同进行分类，大致分为基础环境、主机运维服务、存储运维服务、网络运维服务、桌面、基础软件、应用软件、</w:t>
      </w:r>
    </w:p>
    <w:p w14:paraId="0B4C6C2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其它知识等。服务台以及各类工程师都可以使用</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，进行知识</w:t>
      </w:r>
      <w:r>
        <w:rPr>
          <w:rFonts w:ascii="宋体" w:hAnsi="宋体" w:eastAsia="宋体" w:cs="宋体"/>
          <w:spacing w:val="-3"/>
          <w:sz w:val="24"/>
          <w:szCs w:val="24"/>
        </w:rPr>
        <w:t>搜索和查询，</w:t>
      </w:r>
      <w:r>
        <w:rPr>
          <w:rFonts w:ascii="宋体" w:hAnsi="宋体" w:eastAsia="宋体" w:cs="宋体"/>
          <w:sz w:val="24"/>
          <w:szCs w:val="24"/>
        </w:rPr>
        <w:t>并可以提交日常积累的知识。通过近几年的知识积</w:t>
      </w:r>
      <w:r>
        <w:rPr>
          <w:rFonts w:ascii="宋体" w:hAnsi="宋体" w:eastAsia="宋体" w:cs="宋体"/>
          <w:spacing w:val="-1"/>
          <w:sz w:val="24"/>
          <w:szCs w:val="24"/>
        </w:rPr>
        <w:t>累，目前公司</w:t>
      </w:r>
      <w:r>
        <w:rPr>
          <w:rFonts w:hint="eastAsia" w:ascii="宋体" w:hAnsi="宋体" w:eastAsia="宋体" w:cs="宋体"/>
          <w:spacing w:val="-1"/>
          <w:sz w:val="24"/>
          <w:szCs w:val="24"/>
          <w:lang w:eastAsia="zh-CN"/>
        </w:rPr>
        <w:t>服务知识</w:t>
      </w:r>
      <w:r>
        <w:rPr>
          <w:rFonts w:ascii="宋体" w:hAnsi="宋体" w:eastAsia="宋体" w:cs="宋体"/>
          <w:spacing w:val="-1"/>
          <w:sz w:val="24"/>
          <w:szCs w:val="24"/>
        </w:rPr>
        <w:t>知识各</w:t>
      </w:r>
      <w:r>
        <w:rPr>
          <w:rFonts w:ascii="宋体" w:hAnsi="宋体" w:eastAsia="宋体" w:cs="宋体"/>
          <w:spacing w:val="-3"/>
          <w:sz w:val="24"/>
          <w:szCs w:val="24"/>
        </w:rPr>
        <w:t>类数据560余条，为运维工作提供了有力的支持。</w:t>
      </w:r>
    </w:p>
    <w:p w14:paraId="15D423F6">
      <w:pPr>
        <w:pStyle w:val="26"/>
        <w:bidi w:val="0"/>
      </w:pPr>
      <w:bookmarkStart w:id="4" w:name="_Toc29550"/>
      <w:r>
        <w:rPr>
          <w:rFonts w:hint="eastAsia"/>
          <w:lang w:eastAsia="zh-CN"/>
        </w:rPr>
        <w:t>服务知识</w:t>
      </w:r>
      <w:r>
        <w:t>的管理</w:t>
      </w:r>
      <w:bookmarkEnd w:id="4"/>
    </w:p>
    <w:p w14:paraId="0F37951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pPr>
      <w:r>
        <w:rPr>
          <w:rFonts w:ascii="宋体" w:hAnsi="宋体" w:eastAsia="宋体" w:cs="宋体"/>
          <w:spacing w:val="-3"/>
          <w:sz w:val="24"/>
          <w:szCs w:val="24"/>
        </w:rPr>
        <w:t>公司</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的管理是通过</w:t>
      </w:r>
      <w:r>
        <w:rPr>
          <w:rFonts w:hint="eastAsia" w:ascii="宋体" w:hAnsi="宋体" w:eastAsia="宋体" w:cs="宋体"/>
          <w:spacing w:val="-3"/>
          <w:sz w:val="24"/>
          <w:szCs w:val="24"/>
          <w:lang w:val="en-US" w:eastAsia="zh-CN"/>
        </w:rPr>
        <w:t>360安全云数字化协作平台</w:t>
      </w:r>
      <w:r>
        <w:rPr>
          <w:rFonts w:ascii="宋体" w:hAnsi="宋体" w:eastAsia="宋体" w:cs="宋体"/>
          <w:spacing w:val="-3"/>
          <w:sz w:val="24"/>
          <w:szCs w:val="24"/>
        </w:rPr>
        <w:t>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管理模块。在工单建立的过程中，可以从</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中搜索匹配的相关知识，提高了运维工程师的故障处理效率。在工单关闭时，运维工程师可以将好的解决经验转换为知识，供其他运维人员使用。通过</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管理功能，IT部门主管可以方便的了解每位工程师的知识贡献排名，确保知识流传工作可以正常运转。</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按照多个级别进行分类，分类信息将和事件模块，问题模块，配置模块保持一致，方便用户快捷检索。</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管理员可以设定知识共享范围，只有在该范围内的支持人员可以共享该知识条目。</w:t>
      </w:r>
    </w:p>
    <w:p w14:paraId="43524F01">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hint="eastAsia" w:ascii="宋体" w:hAnsi="宋体" w:eastAsia="宋体" w:cs="宋体"/>
          <w:spacing w:val="-3"/>
          <w:sz w:val="24"/>
          <w:szCs w:val="24"/>
          <w:lang w:val="en-US" w:eastAsia="zh-CN"/>
        </w:rPr>
        <w:t>处置方案建议生成对应的服务知识。</w:t>
      </w:r>
      <w:r>
        <w:rPr>
          <w:rFonts w:ascii="宋体" w:hAnsi="宋体" w:eastAsia="宋体" w:cs="宋体"/>
          <w:spacing w:val="-3"/>
          <w:sz w:val="24"/>
          <w:szCs w:val="24"/>
        </w:rPr>
        <w:t>ITSS对</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的管理要求，实现知识生命周期的有序管理。对公司的运维服务有几方面提升:</w:t>
      </w:r>
    </w:p>
    <w:p w14:paraId="0B3B6EA1">
      <w:pPr>
        <w:pStyle w:val="28"/>
        <w:bidi w:val="0"/>
      </w:pPr>
      <w:bookmarkStart w:id="5" w:name="_Toc13156"/>
      <w:r>
        <w:t>知识及经验的积累</w:t>
      </w:r>
      <w:bookmarkEnd w:id="5"/>
    </w:p>
    <w:p w14:paraId="604FF1A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将存在于每个员工身上的有用的方法和技能征集上来。对于一些业务骨干和技术能手来说他们是不愿意将自己的知识技能传给其他员工的。通过</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的建设可以将他们的方法技能上传到企业的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里，并且详细注明这些方法技能的作者，这样就能可以极大地增强这些骨干员工的荣誉感，并且通过知识系统，可以做到铁打的营盘，流水的兵。公司知识体系的构建，帮助公司获得高门槛和弹性竞争力，从而使得这些知识技能能够存在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里有助于在迅速复制。</w:t>
      </w:r>
    </w:p>
    <w:p w14:paraId="6332A20B">
      <w:pPr>
        <w:pStyle w:val="28"/>
        <w:bidi w:val="0"/>
      </w:pPr>
      <w:bookmarkStart w:id="6" w:name="_Toc2278"/>
      <w:r>
        <w:t>新员工的培养</w:t>
      </w:r>
      <w:bookmarkEnd w:id="6"/>
    </w:p>
    <w:p w14:paraId="37E2585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基于运维服务团队的人员流动比较大，长时间培训不现实等情况，运维人员都是从日常工作积累中成长起来的。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是运维服务能力建设和提高的基石，不仅可以为新员工提供所需要的知识和技能，还提供互相交流和学习的平台。</w:t>
      </w:r>
    </w:p>
    <w:p w14:paraId="6CFBAFC3">
      <w:pPr>
        <w:pStyle w:val="28"/>
        <w:bidi w:val="0"/>
      </w:pPr>
      <w:bookmarkStart w:id="7" w:name="_Toc15906"/>
      <w:r>
        <w:t>知识和经验的传承</w:t>
      </w:r>
      <w:bookmarkEnd w:id="7"/>
    </w:p>
    <w:p w14:paraId="43CF517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市场经济时代的到来，使得人才流动成为了常态。有的离职员工通过若干年在工作中的摸爬滚打，不仅掌握了这个岗位所应具备的能力，有的甚至自己有一套行之有效的技能和方法。他们离职后这些独特的技能和方法也会随之不复存在。如果将他们所掌握的技能和方法存入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中，即使人离开了企业，但是他所创造出的工作技能和方法依然可以继续为企业的经营生产服务，将员工离职给企业造成的损失降到最低。</w:t>
      </w:r>
    </w:p>
    <w:p w14:paraId="5916169A">
      <w:pPr>
        <w:pStyle w:val="28"/>
        <w:bidi w:val="0"/>
      </w:pPr>
      <w:bookmarkStart w:id="8" w:name="_Toc23385"/>
      <w:r>
        <w:t>建设公司的文化</w:t>
      </w:r>
      <w:bookmarkEnd w:id="8"/>
    </w:p>
    <w:p w14:paraId="28C32F6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运维服务业务目标和市场定位不同，培训投入的侧重点也大不相同。</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的有效利用可以帮助运维服务人员学到处理问题的技巧和方法，减少犯同样错误的可能。</w:t>
      </w:r>
    </w:p>
    <w:p w14:paraId="4977421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同时通过知识的互动分享，可以让员工有更多的成就感；员工可以发布个人工作经验和总结，促使员工的互动和相互认同获得成长性。</w:t>
      </w:r>
    </w:p>
    <w:p w14:paraId="6F66B998">
      <w:pPr>
        <w:pStyle w:val="28"/>
        <w:bidi w:val="0"/>
      </w:pPr>
      <w:bookmarkStart w:id="9" w:name="_Toc29282"/>
      <w:r>
        <w:t>有效提升工作效率</w:t>
      </w:r>
      <w:bookmarkEnd w:id="9"/>
    </w:p>
    <w:p w14:paraId="50B8CE6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对服务台人员或者一线人员来说，建设</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的目的就是实用。当需要知识时，能够快速地查找，高效地应用。服务台人员接到客户的报障后，</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会自动分析提交事件的关键词，查找统计，分析最贴近的方案并推荐给支持人员，大大节省支持人员的时间，通过内置的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，提升故障解决效率。另外，将问题的解决方案，发布成已知错误作为知识，就可以随时供事件处理查找和参考。</w:t>
      </w:r>
    </w:p>
    <w:p w14:paraId="4037B548">
      <w:pPr>
        <w:pStyle w:val="28"/>
        <w:bidi w:val="0"/>
        <w:rPr>
          <w:rFonts w:hint="default"/>
          <w:lang w:val="en-US" w:eastAsia="zh-CN"/>
        </w:rPr>
      </w:pPr>
      <w:bookmarkStart w:id="10" w:name="_Toc12519"/>
      <w:r>
        <w:rPr>
          <w:rFonts w:hint="eastAsia"/>
          <w:lang w:val="en-US" w:eastAsia="zh-CN"/>
        </w:rPr>
        <w:t>指标完成情况</w:t>
      </w:r>
      <w:bookmarkEnd w:id="10"/>
    </w:p>
    <w:p w14:paraId="47435C0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经统计，2025年第一、二和三季度知识录入条数分别为56、48条、40条，前三季度均满足新增知识条目≥40条的指标要求。</w:t>
      </w:r>
    </w:p>
    <w:sectPr>
      <w:headerReference r:id="rId9" w:type="default"/>
      <w:footerReference r:id="rId10" w:type="default"/>
      <w:pgSz w:w="11906" w:h="16839"/>
      <w:pgMar w:top="1260" w:right="948" w:bottom="1299" w:left="966"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4AC0F">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A74DF">
    <w:pPr>
      <w:spacing w:line="178" w:lineRule="auto"/>
      <w:ind w:left="4289"/>
      <w:rPr>
        <w:rFonts w:ascii="Cambria" w:hAnsi="Cambria" w:eastAsia="Cambria" w:cs="Cambria"/>
        <w:sz w:val="18"/>
        <w:szCs w:val="18"/>
      </w:rPr>
    </w:pPr>
    <w:r>
      <w:rPr>
        <w:rFonts w:ascii="Cambria" w:hAnsi="Cambria" w:eastAsia="Cambria" w:cs="Cambria"/>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0112F">
    <w:pPr>
      <w:spacing w:line="176" w:lineRule="auto"/>
      <w:ind w:left="4947"/>
      <w:rPr>
        <w:rFonts w:ascii="Cambria" w:hAnsi="Cambria" w:eastAsia="Cambria" w:cs="Cambria"/>
        <w:sz w:val="18"/>
        <w:szCs w:val="18"/>
      </w:rPr>
    </w:pPr>
    <w:r>
      <w:rPr>
        <w:rFonts w:ascii="Cambria" w:hAnsi="Cambria" w:eastAsia="Cambria" w:cs="Cambria"/>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38233">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98F75">
    <w:pPr>
      <w:pStyle w:val="1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D160D">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586940"/>
    <w:rsid w:val="06742A00"/>
    <w:rsid w:val="069C62F3"/>
    <w:rsid w:val="0B226B74"/>
    <w:rsid w:val="0B655D05"/>
    <w:rsid w:val="12152F8F"/>
    <w:rsid w:val="13516249"/>
    <w:rsid w:val="1573694A"/>
    <w:rsid w:val="17DA1252"/>
    <w:rsid w:val="197B7F92"/>
    <w:rsid w:val="1A3B37AF"/>
    <w:rsid w:val="263749FA"/>
    <w:rsid w:val="290D481F"/>
    <w:rsid w:val="32911D66"/>
    <w:rsid w:val="38F60B75"/>
    <w:rsid w:val="39E419DE"/>
    <w:rsid w:val="41E36BD9"/>
    <w:rsid w:val="452F216C"/>
    <w:rsid w:val="4B0D06CC"/>
    <w:rsid w:val="51AF590D"/>
    <w:rsid w:val="5625176D"/>
    <w:rsid w:val="56A35DEE"/>
    <w:rsid w:val="57984065"/>
    <w:rsid w:val="57B41ECF"/>
    <w:rsid w:val="5E5D7DEA"/>
    <w:rsid w:val="6E494CC8"/>
    <w:rsid w:val="7E7C4C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1902</Words>
  <Characters>1954</Characters>
  <Lines>0</Lines>
  <Paragraphs>0</Paragraphs>
  <TotalTime>23</TotalTime>
  <ScaleCrop>false</ScaleCrop>
  <LinksUpToDate>false</LinksUpToDate>
  <CharactersWithSpaces>1997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2025-08-15T15:14:00Z</dcterms:created>
  <dc:creator>健 张</dc:creator>
  <cp:lastModifiedBy>nancy杨茜</cp:lastModifiedBy>
  <dcterms:modified xsi:type="dcterms:W3CDTF">2026-01-07T10:52:36Z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2025-08-21T23:13:37Z</vt:filetime>
  </property>
  <property fmtid="{D5CDD505-2E9C-101B-9397-08002B2CF9AE}" pid="3" name="CRO">
    <vt:lpwstr>wqlLaW5nc29mdCBQREYgdG8gV1BTIDExNQ</vt:lpwstr>
  </property>
  <property fmtid="{D5CDD505-2E9C-101B-9397-08002B2CF9AE}" pid="4" name="ICV">
    <vt:lpwstr>A1008F9BB68447CABCE7A15A42A94F38_12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