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47B16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8FAD1A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DC38B3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0" w:name="_Toc8644"/>
      <w:r>
        <w:rPr>
          <w:rFonts w:hint="eastAsia"/>
        </w:rPr>
        <w:t>盐都区新能源汽车充电站建设项目</w:t>
      </w:r>
      <w:bookmarkEnd w:id="0"/>
    </w:p>
    <w:p w14:paraId="5F650CF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应急演练报告</w:t>
      </w:r>
    </w:p>
    <w:p w14:paraId="106E1C6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8311"/>
      <w:r>
        <w:t>中达丰集团有限公司</w:t>
      </w:r>
      <w:bookmarkEnd w:id="1"/>
    </w:p>
    <w:p w14:paraId="3A874F9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z w:val="30"/>
          <w:szCs w:val="30"/>
        </w:rPr>
      </w:pPr>
    </w:p>
    <w:p w14:paraId="5E8B347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0"/>
          <w:szCs w:val="30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2025年</w:t>
      </w:r>
      <w:r>
        <w:rPr>
          <w:rFonts w:hint="eastAsia" w:ascii="宋体" w:hAnsi="宋体" w:cs="宋体"/>
          <w:sz w:val="30"/>
          <w:szCs w:val="30"/>
          <w:lang w:val="en-US" w:eastAsia="zh-CN"/>
        </w:rPr>
        <w:t>12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月</w:t>
      </w:r>
      <w:r>
        <w:rPr>
          <w:rFonts w:hint="eastAsia" w:ascii="宋体" w:hAnsi="宋体" w:cs="宋体"/>
          <w:sz w:val="30"/>
          <w:szCs w:val="30"/>
          <w:lang w:val="en-US" w:eastAsia="zh-CN"/>
        </w:rPr>
        <w:t>3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0日</w:t>
      </w:r>
    </w:p>
    <w:p w14:paraId="69D29A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6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7105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16250C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7F8F0F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479CEC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05C6F7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09"/>
              <w:textAlignment w:val="baseline"/>
            </w:pPr>
            <w:r>
              <w:rPr>
                <w:rFonts w:hint="eastAsia"/>
                <w:lang w:val="en-US" w:eastAsia="zh-CN"/>
              </w:rPr>
              <w:t>赶紧方案</w:t>
            </w:r>
            <w:r>
              <w:t>（ZDFJT-ITS</w:t>
            </w:r>
            <w:r>
              <w:rPr>
                <w:spacing w:val="-1"/>
              </w:rPr>
              <w:t>S-</w:t>
            </w:r>
            <w:r>
              <w:rPr>
                <w:rFonts w:hint="eastAsia"/>
                <w:spacing w:val="-1"/>
                <w:lang w:val="en-US" w:eastAsia="zh-CN"/>
              </w:rPr>
              <w:t>JFSSJH</w:t>
            </w:r>
            <w:r>
              <w:rPr>
                <w:spacing w:val="-1"/>
              </w:rPr>
              <w:t>）</w:t>
            </w:r>
          </w:p>
        </w:tc>
      </w:tr>
      <w:tr w14:paraId="31B396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15DB6A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A7784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1D5BA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4DFC47D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</w:pPr>
            <w:r>
              <w:rPr>
                <w:spacing w:val="-3"/>
              </w:rPr>
              <w:t>文档版本</w:t>
            </w:r>
          </w:p>
        </w:tc>
        <w:tc>
          <w:tcPr>
            <w:tcW w:w="1413" w:type="dxa"/>
          </w:tcPr>
          <w:p w14:paraId="32EF0DE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22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674189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76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73382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6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63413A1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5"/>
              <w:textAlignment w:val="baseline"/>
            </w:pPr>
            <w:r>
              <w:rPr>
                <w:spacing w:val="-6"/>
              </w:rPr>
              <w:t>审核</w:t>
            </w:r>
          </w:p>
        </w:tc>
      </w:tr>
      <w:tr w14:paraId="11D74C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0621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68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72DF501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171"/>
              <w:textAlignment w:val="baseline"/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</w:t>
            </w:r>
            <w:r>
              <w:rPr>
                <w:spacing w:val="-2"/>
              </w:rPr>
              <w:t>0</w:t>
            </w:r>
          </w:p>
        </w:tc>
        <w:tc>
          <w:tcPr>
            <w:tcW w:w="2302" w:type="dxa"/>
          </w:tcPr>
          <w:p w14:paraId="440580B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679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1205929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458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208C90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0" w:lineRule="auto"/>
              <w:ind w:left="635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吴向阳</w:t>
            </w:r>
          </w:p>
        </w:tc>
      </w:tr>
      <w:tr w14:paraId="550FE8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54121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65BEF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1647C9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FBEAD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E6761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CE428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25EF84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1309DD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34B54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2D3F2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EE46C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796DD3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06471D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29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0670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18CBE51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77F3FC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_Toc8644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</w:rPr>
            <w:t>盐都区新能源汽车充电站建设项目</w:t>
          </w:r>
          <w:r>
            <w:tab/>
          </w:r>
          <w:r>
            <w:fldChar w:fldCharType="begin"/>
          </w:r>
          <w:r>
            <w:instrText xml:space="preserve"> PAGEREF _Toc8644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0CBF23A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_Toc7434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改进方案</w:t>
          </w:r>
          <w:r>
            <w:tab/>
          </w:r>
          <w:r>
            <w:fldChar w:fldCharType="begin"/>
          </w:r>
          <w:r>
            <w:instrText xml:space="preserve"> PAGEREF _Toc7434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2B7C5BA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_Toc18311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_Toc18311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DC4DF25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_Toc17105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_Toc17105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A037C67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_Toc12707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总体目标</w:t>
          </w:r>
          <w:r>
            <w:tab/>
          </w:r>
          <w:r>
            <w:fldChar w:fldCharType="begin"/>
          </w:r>
          <w:r>
            <w:instrText xml:space="preserve"> PAGEREF _Toc12707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17F19AB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_Toc4169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改进方向与措施</w:t>
          </w:r>
          <w:r>
            <w:tab/>
          </w:r>
          <w:r>
            <w:fldChar w:fldCharType="begin"/>
          </w:r>
          <w:r>
            <w:instrText xml:space="preserve"> PAGEREF _Toc4169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C1CFB56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_Toc19318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巡检标准化与规范化</w:t>
          </w:r>
          <w:r>
            <w:tab/>
          </w:r>
          <w:r>
            <w:fldChar w:fldCharType="begin"/>
          </w:r>
          <w:r>
            <w:instrText xml:space="preserve"> PAGEREF _Toc19318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52857D1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_Toc19268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设备预防性维护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196F285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_Toc21448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网络与系统监控优化</w:t>
          </w:r>
          <w:r>
            <w:tab/>
          </w:r>
          <w:r>
            <w:fldChar w:fldCharType="begin"/>
          </w:r>
          <w:r>
            <w:instrText xml:space="preserve"> PAGEREF _Toc21448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09631F5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_Toc3747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问题跟踪与闭环管理</w:t>
          </w:r>
          <w:r>
            <w:tab/>
          </w:r>
          <w:r>
            <w:fldChar w:fldCharType="begin"/>
          </w:r>
          <w:r>
            <w:instrText xml:space="preserve"> PAGEREF _Toc3747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30ACE84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_Toc23626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巡检质量与效果评估</w:t>
          </w:r>
          <w:r>
            <w:tab/>
          </w:r>
          <w:r>
            <w:fldChar w:fldCharType="begin"/>
          </w:r>
          <w:r>
            <w:instrText xml:space="preserve"> PAGEREF _Toc23626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DA11D94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_Toc18014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实施计划</w:t>
          </w:r>
          <w:r>
            <w:tab/>
          </w:r>
          <w:r>
            <w:fldChar w:fldCharType="begin"/>
          </w:r>
          <w:r>
            <w:instrText xml:space="preserve"> PAGEREF _Toc18014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76646A0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_Toc26102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责任分工</w:t>
          </w:r>
          <w:r>
            <w:tab/>
          </w:r>
          <w:r>
            <w:fldChar w:fldCharType="begin"/>
          </w:r>
          <w:r>
            <w:instrText xml:space="preserve"> PAGEREF _Toc26102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C020A85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_Toc10464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预期成效</w:t>
          </w:r>
          <w:r>
            <w:tab/>
          </w:r>
          <w:r>
            <w:fldChar w:fldCharType="begin"/>
          </w:r>
          <w:r>
            <w:instrText xml:space="preserve"> PAGEREF _Toc10464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4E6798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宋体" w:hAnsi="宋体" w:eastAsia="宋体" w:cs="宋体"/>
              <w:szCs w:val="24"/>
            </w:rPr>
            <w:fldChar w:fldCharType="end"/>
          </w:r>
        </w:p>
      </w:sdtContent>
    </w:sdt>
    <w:p w14:paraId="4890A7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8F3382E">
      <w:pPr>
        <w:pStyle w:val="2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演练基本概况</w:t>
      </w:r>
    </w:p>
    <w:tbl>
      <w:tblPr>
        <w:tblStyle w:val="20"/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2"/>
        <w:gridCol w:w="7293"/>
      </w:tblGrid>
      <w:tr w14:paraId="443036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01CC1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</w:t>
            </w:r>
          </w:p>
        </w:tc>
        <w:tc>
          <w:tcPr>
            <w:tcW w:w="72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8B99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内容</w:t>
            </w:r>
          </w:p>
        </w:tc>
      </w:tr>
      <w:tr w14:paraId="6FDDB4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1D65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演练名称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600C8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2025年8月高温汛期施工现场安全事故应急专项演练</w:t>
            </w:r>
          </w:p>
        </w:tc>
      </w:tr>
      <w:tr w14:paraId="39784B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711E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演练时间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DCF9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2025年8月15日（星期四）上午 9:00 - 11:30</w:t>
            </w:r>
          </w:p>
        </w:tc>
      </w:tr>
      <w:tr w14:paraId="03DA25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1E7BF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演练地点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4E8A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盐都区充电站建设项目 #12 站点施工现场</w:t>
            </w:r>
          </w:p>
        </w:tc>
      </w:tr>
      <w:tr w14:paraId="5A2BB5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884A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演练性质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7A70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专项实战演练（部分预先通知，部分突击）</w:t>
            </w:r>
          </w:p>
        </w:tc>
      </w:tr>
      <w:tr w14:paraId="72C506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36CF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演练依据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07F7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《盐都区新能源汽车充电站建设项目应急演练预案》V1.0</w:t>
            </w:r>
          </w:p>
        </w:tc>
      </w:tr>
      <w:tr w14:paraId="431CB8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E532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演练场景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9FDA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场景S2 - 施工现场安全事故（人员触电/设备倾倒）</w:t>
            </w:r>
          </w:p>
        </w:tc>
      </w:tr>
      <w:tr w14:paraId="1257CF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7C14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演练指挥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41DE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</w:tr>
      <w:tr w14:paraId="5B9AFB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3519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评估组长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6679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管理专员</w:t>
            </w:r>
          </w:p>
        </w:tc>
      </w:tr>
      <w:tr w14:paraId="08DB7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41E6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参与人数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D64A2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10人</w:t>
            </w:r>
          </w:p>
        </w:tc>
      </w:tr>
    </w:tbl>
    <w:p w14:paraId="4B6EAF4D">
      <w:pPr>
        <w:pStyle w:val="2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演练目标达成情况</w:t>
      </w:r>
    </w:p>
    <w:tbl>
      <w:tblPr>
        <w:tblStyle w:val="20"/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1"/>
        <w:gridCol w:w="1944"/>
        <w:gridCol w:w="1561"/>
        <w:gridCol w:w="4239"/>
      </w:tblGrid>
      <w:tr w14:paraId="2BE888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B136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目标序号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FA68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演练前设定目标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4129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达成情况评估</w:t>
            </w:r>
          </w:p>
        </w:tc>
        <w:tc>
          <w:tcPr>
            <w:tcW w:w="423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34E9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评估说明</w:t>
            </w:r>
          </w:p>
        </w:tc>
      </w:tr>
      <w:tr w14:paraId="254F96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74710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593A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检验预案有效性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C9A5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完全达成</w:t>
            </w:r>
          </w:p>
        </w:tc>
        <w:tc>
          <w:tcPr>
            <w:tcW w:w="42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851F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场景S2处置流程清晰可行，各环节衔接顺畅</w:t>
            </w:r>
          </w:p>
        </w:tc>
      </w:tr>
      <w:tr w14:paraId="5FAC18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F31B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F616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锻炼现场处置能力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FB0A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基本达成</w:t>
            </w:r>
          </w:p>
        </w:tc>
        <w:tc>
          <w:tcPr>
            <w:tcW w:w="42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A5CBA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人员救护、设备评估、现场隔离等动作基本规范</w:t>
            </w:r>
          </w:p>
        </w:tc>
      </w:tr>
      <w:tr w14:paraId="05ACB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8C19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E6C8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强化跨岗位协同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5F1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⚠️ 部分达成</w:t>
            </w:r>
          </w:p>
        </w:tc>
        <w:tc>
          <w:tcPr>
            <w:tcW w:w="42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9480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指挥与执行层沟通及时，但部分岗位职责重叠</w:t>
            </w:r>
          </w:p>
        </w:tc>
      </w:tr>
      <w:tr w14:paraId="465F75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0727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9494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识别安全隐患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F96A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完全达成</w:t>
            </w:r>
          </w:p>
        </w:tc>
        <w:tc>
          <w:tcPr>
            <w:tcW w:w="42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B972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识别出3项现场安全隐患并记录在案</w:t>
            </w:r>
          </w:p>
        </w:tc>
      </w:tr>
      <w:tr w14:paraId="4005B1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032C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907C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保障项目进度</w:t>
            </w:r>
          </w:p>
        </w:tc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0F47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基本达成</w:t>
            </w:r>
          </w:p>
        </w:tc>
        <w:tc>
          <w:tcPr>
            <w:tcW w:w="42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F0078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演练中体现了进度调整机制，具备应急调度意识</w:t>
            </w:r>
          </w:p>
        </w:tc>
      </w:tr>
    </w:tbl>
    <w:p w14:paraId="4AD1D1A8">
      <w:pPr>
        <w:pStyle w:val="2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演练过程执行情况</w:t>
      </w:r>
    </w:p>
    <w:p w14:paraId="1B939C12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时间线执行符合性</w:t>
      </w:r>
    </w:p>
    <w:tbl>
      <w:tblPr>
        <w:tblStyle w:val="20"/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40"/>
        <w:gridCol w:w="2108"/>
        <w:gridCol w:w="3967"/>
      </w:tblGrid>
      <w:tr w14:paraId="07F5A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6520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计划时间节点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AF05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实际执行时间</w:t>
            </w:r>
          </w:p>
        </w:tc>
        <w:tc>
          <w:tcPr>
            <w:tcW w:w="39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CABC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偏差说明</w:t>
            </w:r>
          </w:p>
        </w:tc>
      </w:tr>
      <w:tr w14:paraId="2977B3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D254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9:15 事故触发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D323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9:15</w:t>
            </w:r>
          </w:p>
        </w:tc>
        <w:tc>
          <w:tcPr>
            <w:tcW w:w="3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69ED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无偏差</w:t>
            </w:r>
          </w:p>
        </w:tc>
      </w:tr>
      <w:tr w14:paraId="66DB24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1DC2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9:20 现场负责人到达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260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9:22</w:t>
            </w:r>
          </w:p>
        </w:tc>
        <w:tc>
          <w:tcPr>
            <w:tcW w:w="3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78AC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+2分钟，因对讲机信号短暂不稳</w:t>
            </w:r>
          </w:p>
        </w:tc>
      </w:tr>
      <w:tr w14:paraId="4B2F1A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0C35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9:25 总指挥启动预案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4A0F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9:26</w:t>
            </w:r>
          </w:p>
        </w:tc>
        <w:tc>
          <w:tcPr>
            <w:tcW w:w="3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7B81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+1分钟，无实质影响</w:t>
            </w:r>
          </w:p>
        </w:tc>
      </w:tr>
      <w:tr w14:paraId="1DEF25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27E4F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9:50 现场处置完成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AA69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9:52</w:t>
            </w:r>
          </w:p>
        </w:tc>
        <w:tc>
          <w:tcPr>
            <w:tcW w:w="3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44B61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+2分钟，设备检查环节略超时</w:t>
            </w:r>
          </w:p>
        </w:tc>
      </w:tr>
      <w:tr w14:paraId="6B69CA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6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17CE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10:30 演练结束集合</w:t>
            </w:r>
          </w:p>
        </w:tc>
        <w:tc>
          <w:tcPr>
            <w:tcW w:w="21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5425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10:28</w:t>
            </w:r>
          </w:p>
        </w:tc>
        <w:tc>
          <w:tcPr>
            <w:tcW w:w="39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097F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-2分钟，提前完成</w:t>
            </w:r>
          </w:p>
        </w:tc>
      </w:tr>
    </w:tbl>
    <w:p w14:paraId="15909C69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关键动作执行评估</w:t>
      </w:r>
    </w:p>
    <w:tbl>
      <w:tblPr>
        <w:tblStyle w:val="20"/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92"/>
        <w:gridCol w:w="2424"/>
        <w:gridCol w:w="4099"/>
      </w:tblGrid>
      <w:tr w14:paraId="26C1EB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FCBE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关键动作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759F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执行情况</w:t>
            </w:r>
          </w:p>
        </w:tc>
        <w:tc>
          <w:tcPr>
            <w:tcW w:w="409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635F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存在问题</w:t>
            </w:r>
          </w:p>
        </w:tc>
      </w:tr>
      <w:tr w14:paraId="6D84C1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0B7E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事故报告与初步响应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354A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及时、准确</w:t>
            </w:r>
          </w:p>
        </w:tc>
        <w:tc>
          <w:tcPr>
            <w:tcW w:w="40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B3395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无</w:t>
            </w:r>
          </w:p>
        </w:tc>
      </w:tr>
      <w:tr w14:paraId="28A51F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78F7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现场隔离与警戒设置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FE97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规范、迅速</w:t>
            </w:r>
          </w:p>
        </w:tc>
        <w:tc>
          <w:tcPr>
            <w:tcW w:w="40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46DD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警戒带设置范围略小</w:t>
            </w:r>
          </w:p>
        </w:tc>
      </w:tr>
      <w:tr w14:paraId="5B1630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E315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人员救护与包扎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8891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动作基本规范</w:t>
            </w:r>
          </w:p>
        </w:tc>
        <w:tc>
          <w:tcPr>
            <w:tcW w:w="40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5FA69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三角巾使用不够熟练</w:t>
            </w:r>
          </w:p>
        </w:tc>
      </w:tr>
      <w:tr w14:paraId="30ED3C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9ED1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设备损坏评估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40F1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检查全面、记录完整</w:t>
            </w:r>
          </w:p>
        </w:tc>
        <w:tc>
          <w:tcPr>
            <w:tcW w:w="40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0703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未同步拍照存档</w:t>
            </w:r>
          </w:p>
        </w:tc>
      </w:tr>
      <w:tr w14:paraId="708726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9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8346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对外信息通报模拟</w:t>
            </w:r>
          </w:p>
        </w:tc>
        <w:tc>
          <w:tcPr>
            <w:tcW w:w="24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9A5C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格式完整、内容清晰</w:t>
            </w:r>
          </w:p>
        </w:tc>
        <w:tc>
          <w:tcPr>
            <w:tcW w:w="40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CE664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通报时机稍晚（计划10:10，实际10:25）</w:t>
            </w:r>
          </w:p>
        </w:tc>
      </w:tr>
    </w:tbl>
    <w:p w14:paraId="6195C1F4">
      <w:pPr>
        <w:pStyle w:val="2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演练评估得分</w:t>
      </w:r>
    </w:p>
    <w:p w14:paraId="45429F15">
      <w:pPr>
        <w:pStyle w:val="27"/>
        <w:bidi w:val="0"/>
        <w:rPr>
          <w:rFonts w:hint="default"/>
        </w:rPr>
      </w:pPr>
      <w:r>
        <w:t>依据《应急演练计划》中设定的评估标准，本次演练综合得分为：</w:t>
      </w:r>
      <w:r>
        <w:rPr>
          <w:rFonts w:hint="default"/>
        </w:rPr>
        <w:t>82分</w:t>
      </w:r>
    </w:p>
    <w:tbl>
      <w:tblPr>
        <w:tblStyle w:val="20"/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09"/>
        <w:gridCol w:w="1177"/>
        <w:gridCol w:w="1029"/>
        <w:gridCol w:w="4500"/>
      </w:tblGrid>
      <w:tr w14:paraId="0DF76F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4355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评估维度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29F3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权重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48AB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得分</w:t>
            </w:r>
          </w:p>
        </w:tc>
        <w:tc>
          <w:tcPr>
            <w:tcW w:w="45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2F12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评语</w:t>
            </w:r>
          </w:p>
        </w:tc>
      </w:tr>
      <w:tr w14:paraId="1D6CEB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5018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响应启动时效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FDF9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596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16</w:t>
            </w:r>
          </w:p>
        </w:tc>
        <w:tc>
          <w:tcPr>
            <w:tcW w:w="45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6B533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5分钟内启动，符合要求</w:t>
            </w:r>
          </w:p>
        </w:tc>
      </w:tr>
      <w:tr w14:paraId="777A2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16D00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现场指挥有序性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FDBC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EF7B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45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A705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指令清晰，分组明确</w:t>
            </w:r>
          </w:p>
        </w:tc>
      </w:tr>
      <w:tr w14:paraId="5F5F13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5C82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处置措施规范性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4F45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BA94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</w:p>
        </w:tc>
        <w:tc>
          <w:tcPr>
            <w:tcW w:w="45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3515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基本符合安全规程，个别细节待加强</w:t>
            </w:r>
          </w:p>
        </w:tc>
      </w:tr>
      <w:tr w14:paraId="40F32D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60BDF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信息通报及时性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FAF2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3AF5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45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D508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对外通报延迟，需优化流程</w:t>
            </w:r>
          </w:p>
        </w:tc>
      </w:tr>
      <w:tr w14:paraId="707AE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459D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协同配合效率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FE7C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0740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16</w:t>
            </w:r>
          </w:p>
        </w:tc>
        <w:tc>
          <w:tcPr>
            <w:tcW w:w="45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A9A3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各组衔接基本顺畅，存在短暂职责不清</w:t>
            </w:r>
          </w:p>
        </w:tc>
      </w:tr>
      <w:tr w14:paraId="1A5254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0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E616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合计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292C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10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BF75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82</w:t>
            </w:r>
          </w:p>
        </w:tc>
        <w:tc>
          <w:tcPr>
            <w:tcW w:w="45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42EDB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良好</w:t>
            </w:r>
          </w:p>
        </w:tc>
      </w:tr>
    </w:tbl>
    <w:p w14:paraId="7DC21E41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发现问题与改进建议</w:t>
      </w:r>
    </w:p>
    <w:p w14:paraId="048BD188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发现问题</w:t>
      </w:r>
    </w:p>
    <w:p w14:paraId="7A9F03DE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职责重叠问题：现场隔离组与设备检查组在初期存在短暂职责交叉，影响效率。</w:t>
      </w:r>
    </w:p>
    <w:p w14:paraId="172172A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通讯设备稳定性：演练中对讲机出现短暂信号干扰，影响指令接收。</w:t>
      </w:r>
    </w:p>
    <w:p w14:paraId="1A3BC53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救护技能熟练度：部分人员对急救包内物品使用不熟练。</w:t>
      </w:r>
    </w:p>
    <w:p w14:paraId="205CBE3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记录完整性：设备损坏评估未同步进行影像记录。</w:t>
      </w:r>
    </w:p>
    <w:p w14:paraId="579CC0B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通报流程时效：对外通报（模拟）比计划延迟15分钟。</w:t>
      </w:r>
    </w:p>
    <w:p w14:paraId="50806510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改进建议</w:t>
      </w:r>
    </w:p>
    <w:tbl>
      <w:tblPr>
        <w:tblStyle w:val="20"/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8"/>
        <w:gridCol w:w="4873"/>
        <w:gridCol w:w="1641"/>
        <w:gridCol w:w="1583"/>
      </w:tblGrid>
      <w:tr w14:paraId="6D9168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A90F3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AA84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改进内容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5AAD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责任岗位</w:t>
            </w:r>
          </w:p>
        </w:tc>
        <w:tc>
          <w:tcPr>
            <w:tcW w:w="158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5C2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完成时限</w:t>
            </w:r>
          </w:p>
        </w:tc>
      </w:tr>
      <w:tr w14:paraId="205B9A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DE892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C327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修订《现场应急职责卡》，明确各岗位边界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E298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15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3A254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2025年9月10日</w:t>
            </w:r>
          </w:p>
        </w:tc>
      </w:tr>
      <w:tr w14:paraId="780245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3B4D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841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增配备用通讯设备，并测试信号覆盖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735F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网络工程师</w:t>
            </w:r>
          </w:p>
        </w:tc>
        <w:tc>
          <w:tcPr>
            <w:tcW w:w="15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0DE45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2025年9月15日</w:t>
            </w:r>
          </w:p>
        </w:tc>
      </w:tr>
      <w:tr w14:paraId="3C9AFD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0C25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64AD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组织一次专项急救技能培训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677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管理专员</w:t>
            </w:r>
            <w:bookmarkStart w:id="3" w:name="_GoBack"/>
            <w:bookmarkEnd w:id="3"/>
          </w:p>
        </w:tc>
        <w:tc>
          <w:tcPr>
            <w:tcW w:w="15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A3BEE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2025年9月20日</w:t>
            </w:r>
          </w:p>
        </w:tc>
      </w:tr>
      <w:tr w14:paraId="1AFDCA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C586C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5047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为各站点配备简易影像记录工具（如执法记录仪）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DB59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采购专员</w:t>
            </w:r>
          </w:p>
        </w:tc>
        <w:tc>
          <w:tcPr>
            <w:tcW w:w="15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5157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2025年9月30日</w:t>
            </w:r>
          </w:p>
        </w:tc>
      </w:tr>
      <w:tr w14:paraId="2F10FA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E4B8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C01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制定《应急信息通报流程图》，明确各环节时限</w:t>
            </w:r>
          </w:p>
        </w:tc>
        <w:tc>
          <w:tcPr>
            <w:tcW w:w="16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69DE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15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BABE3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2025年9月10日</w:t>
            </w:r>
          </w:p>
        </w:tc>
      </w:tr>
    </w:tbl>
    <w:p w14:paraId="7ABE085E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演练成果与后续应用</w:t>
      </w:r>
    </w:p>
    <w:p w14:paraId="34D65BB2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直接成果</w:t>
      </w:r>
    </w:p>
    <w:p w14:paraId="090A58C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验证了《应急演练预案》中场景S2的现场可操作性。</w:t>
      </w:r>
    </w:p>
    <w:p w14:paraId="545C16A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提升了项目团队在复合安全事故中的协同处置能力。</w:t>
      </w:r>
    </w:p>
    <w:p w14:paraId="147E355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识别并记录3项现场安全隐患，均已列入整改清单。</w:t>
      </w:r>
    </w:p>
    <w:p w14:paraId="0AF7B26F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知识沉淀</w:t>
      </w:r>
    </w:p>
    <w:p w14:paraId="6E59A5E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本次演练的全过程记录（含时间线、问题、评估）已归档至项目知识库。</w:t>
      </w:r>
    </w:p>
    <w:p w14:paraId="4DEE4D8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演练中验证有效的“现场隔离-救护-评估”并行处置模式，已补充至《施工现场安全作业指导书》。</w:t>
      </w:r>
    </w:p>
    <w:p w14:paraId="414FA4E8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对后续工作的指导</w:t>
      </w:r>
    </w:p>
    <w:p w14:paraId="1D865DA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本次演练暴露的通讯、记录、通报等问题，将在后续演练（如2026年1月试运行演练）中重点检验改进情况。</w:t>
      </w:r>
    </w:p>
    <w:p w14:paraId="4D9102D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演练中表现突出的协同机制，将在项目日常安全管理中推广运用。</w:t>
      </w:r>
    </w:p>
    <w:p w14:paraId="152C349D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结论</w:t>
      </w:r>
    </w:p>
    <w:p w14:paraId="2F18B6C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2025年8月应急演练基本达到预期目标，有效检验了高温汛期施工现场安全事故的应急响应机制。演练过程中团队表现出较强的责任意识和协作基础，同时在通讯保障、技能熟练度、流程精细化等方面存在提升空间。</w:t>
      </w:r>
    </w:p>
    <w:sectPr>
      <w:footerReference r:id="rId5" w:type="default"/>
      <w:pgSz w:w="11906" w:h="16839"/>
      <w:pgMar w:top="1431" w:right="1595" w:bottom="1473" w:left="1785" w:header="0" w:footer="122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839DD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1C626C"/>
    <w:rsid w:val="0191060D"/>
    <w:rsid w:val="01C60793"/>
    <w:rsid w:val="02144177"/>
    <w:rsid w:val="02F53218"/>
    <w:rsid w:val="03A52548"/>
    <w:rsid w:val="03ED5F26"/>
    <w:rsid w:val="03FE7173"/>
    <w:rsid w:val="04C133B2"/>
    <w:rsid w:val="05171224"/>
    <w:rsid w:val="07B02B10"/>
    <w:rsid w:val="080A32C2"/>
    <w:rsid w:val="083365D1"/>
    <w:rsid w:val="09862E1C"/>
    <w:rsid w:val="09FB69A5"/>
    <w:rsid w:val="0A5126DF"/>
    <w:rsid w:val="0AB35B63"/>
    <w:rsid w:val="0ABC2087"/>
    <w:rsid w:val="0B2E5519"/>
    <w:rsid w:val="0BDE588B"/>
    <w:rsid w:val="0C3737A1"/>
    <w:rsid w:val="0C5B0590"/>
    <w:rsid w:val="0CAF61E6"/>
    <w:rsid w:val="0CE438D3"/>
    <w:rsid w:val="0D894112"/>
    <w:rsid w:val="0DA73361"/>
    <w:rsid w:val="0DB83011"/>
    <w:rsid w:val="104079A4"/>
    <w:rsid w:val="11561326"/>
    <w:rsid w:val="11731ED8"/>
    <w:rsid w:val="12F47048"/>
    <w:rsid w:val="133D279D"/>
    <w:rsid w:val="14465682"/>
    <w:rsid w:val="16ED44DA"/>
    <w:rsid w:val="1721492C"/>
    <w:rsid w:val="17A10E21"/>
    <w:rsid w:val="188D7C5B"/>
    <w:rsid w:val="196B2580"/>
    <w:rsid w:val="1A70446A"/>
    <w:rsid w:val="1BBD74D6"/>
    <w:rsid w:val="1BC81262"/>
    <w:rsid w:val="1C625023"/>
    <w:rsid w:val="1CF55E97"/>
    <w:rsid w:val="1D743260"/>
    <w:rsid w:val="1EF26B32"/>
    <w:rsid w:val="1F5844BB"/>
    <w:rsid w:val="20484530"/>
    <w:rsid w:val="20902076"/>
    <w:rsid w:val="21DD7E45"/>
    <w:rsid w:val="22C34341"/>
    <w:rsid w:val="23E66539"/>
    <w:rsid w:val="24681644"/>
    <w:rsid w:val="246D6B15"/>
    <w:rsid w:val="270D0281"/>
    <w:rsid w:val="273473B1"/>
    <w:rsid w:val="28B17A6C"/>
    <w:rsid w:val="2913307B"/>
    <w:rsid w:val="29DA6B40"/>
    <w:rsid w:val="2AB96756"/>
    <w:rsid w:val="2B0136EC"/>
    <w:rsid w:val="2B512E32"/>
    <w:rsid w:val="2B595843"/>
    <w:rsid w:val="2BB60F80"/>
    <w:rsid w:val="2BDE3F9A"/>
    <w:rsid w:val="2CB92267"/>
    <w:rsid w:val="2D7E3C87"/>
    <w:rsid w:val="2DD90EBD"/>
    <w:rsid w:val="2E953036"/>
    <w:rsid w:val="30E052E7"/>
    <w:rsid w:val="31815AF3"/>
    <w:rsid w:val="31872DB7"/>
    <w:rsid w:val="321921D0"/>
    <w:rsid w:val="33AF4B9A"/>
    <w:rsid w:val="34476B80"/>
    <w:rsid w:val="345C4021"/>
    <w:rsid w:val="353115DE"/>
    <w:rsid w:val="37660B99"/>
    <w:rsid w:val="38331AE3"/>
    <w:rsid w:val="390E4F66"/>
    <w:rsid w:val="391536F1"/>
    <w:rsid w:val="39921DDC"/>
    <w:rsid w:val="39AA5818"/>
    <w:rsid w:val="3A246042"/>
    <w:rsid w:val="3A2D6818"/>
    <w:rsid w:val="3A863CF1"/>
    <w:rsid w:val="3B814871"/>
    <w:rsid w:val="3C19028A"/>
    <w:rsid w:val="3C371BD0"/>
    <w:rsid w:val="3C5A3D43"/>
    <w:rsid w:val="3E4E3201"/>
    <w:rsid w:val="3E854E75"/>
    <w:rsid w:val="3F870779"/>
    <w:rsid w:val="41006A35"/>
    <w:rsid w:val="413C5988"/>
    <w:rsid w:val="417F282C"/>
    <w:rsid w:val="41874A60"/>
    <w:rsid w:val="421D66E1"/>
    <w:rsid w:val="428217D4"/>
    <w:rsid w:val="42C729C3"/>
    <w:rsid w:val="448B59E3"/>
    <w:rsid w:val="44932C28"/>
    <w:rsid w:val="44FD2579"/>
    <w:rsid w:val="44FF0DB1"/>
    <w:rsid w:val="45C8592C"/>
    <w:rsid w:val="46207ACD"/>
    <w:rsid w:val="471660D6"/>
    <w:rsid w:val="472B0583"/>
    <w:rsid w:val="47B9793D"/>
    <w:rsid w:val="482650DA"/>
    <w:rsid w:val="49C600F0"/>
    <w:rsid w:val="4A1C606C"/>
    <w:rsid w:val="4B3A6FE7"/>
    <w:rsid w:val="4B49722A"/>
    <w:rsid w:val="4C0860B4"/>
    <w:rsid w:val="4C5D756C"/>
    <w:rsid w:val="4D5B476E"/>
    <w:rsid w:val="4FDB2C90"/>
    <w:rsid w:val="4FF27771"/>
    <w:rsid w:val="503B7459"/>
    <w:rsid w:val="50E84DEF"/>
    <w:rsid w:val="5539030F"/>
    <w:rsid w:val="55A27C63"/>
    <w:rsid w:val="56535401"/>
    <w:rsid w:val="5900361E"/>
    <w:rsid w:val="5AF05E41"/>
    <w:rsid w:val="5EC450EE"/>
    <w:rsid w:val="5F9E3142"/>
    <w:rsid w:val="5FB711E9"/>
    <w:rsid w:val="61073070"/>
    <w:rsid w:val="6175345D"/>
    <w:rsid w:val="6241391E"/>
    <w:rsid w:val="62AD4C85"/>
    <w:rsid w:val="633914DA"/>
    <w:rsid w:val="63714E7E"/>
    <w:rsid w:val="646B7DB9"/>
    <w:rsid w:val="65197815"/>
    <w:rsid w:val="65A17F37"/>
    <w:rsid w:val="67EC3CDB"/>
    <w:rsid w:val="68987CBD"/>
    <w:rsid w:val="693410C2"/>
    <w:rsid w:val="6B5C3A54"/>
    <w:rsid w:val="6C066D46"/>
    <w:rsid w:val="6D7A4FB0"/>
    <w:rsid w:val="6DC5053A"/>
    <w:rsid w:val="6DF86AA4"/>
    <w:rsid w:val="70F133F4"/>
    <w:rsid w:val="70F24D98"/>
    <w:rsid w:val="74116287"/>
    <w:rsid w:val="74AA46FD"/>
    <w:rsid w:val="74CC21AE"/>
    <w:rsid w:val="755503F6"/>
    <w:rsid w:val="776B5CAF"/>
    <w:rsid w:val="7B436BB5"/>
    <w:rsid w:val="7BB5399C"/>
    <w:rsid w:val="7C3C0199"/>
    <w:rsid w:val="7DD5166A"/>
    <w:rsid w:val="7EF0182C"/>
    <w:rsid w:val="7F2826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link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1 Char"/>
    <w:link w:val="26"/>
    <w:qFormat/>
    <w:uiPriority w:val="0"/>
    <w:rPr>
      <w:rFonts w:ascii="Arial" w:hAnsi="Arial" w:eastAsia="宋体"/>
      <w:sz w:val="32"/>
    </w:rPr>
  </w:style>
  <w:style w:type="character" w:customStyle="1" w:styleId="32">
    <w:name w:val="柴_标题3 Char"/>
    <w:link w:val="29"/>
    <w:qFormat/>
    <w:uiPriority w:val="0"/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4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906</Words>
  <Characters>1028</Characters>
  <Lines>0</Lines>
  <Paragraphs>0</Paragraphs>
  <TotalTime>5</TotalTime>
  <ScaleCrop>false</ScaleCrop>
  <LinksUpToDate>false</LinksUpToDate>
  <CharactersWithSpaces>1097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2025-08-15T15:48:00Z</dcterms:created>
  <dc:creator>杜高明</dc:creator>
  <cp:lastModifiedBy>郝宇</cp:lastModifiedBy>
  <dcterms:modified xsi:type="dcterms:W3CDTF">2026-02-26T12:25:39Z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2025-08-16T03:30:03Z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674D07E3A33845EB81407F71F4A5829D_12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