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57EA3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bookmarkStart w:id="0" w:name="_Toc28961"/>
    </w:p>
    <w:p w14:paraId="236006B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bookmarkStart w:id="15" w:name="_GoBack"/>
      <w:bookmarkEnd w:id="15"/>
      <w:r>
        <w:rPr>
          <w:rFonts w:hint="eastAsia"/>
          <w:lang w:val="en-US" w:eastAsia="zh-CN"/>
        </w:rPr>
        <w:t>公司</w:t>
      </w:r>
      <w:r>
        <w:t>运维</w:t>
      </w:r>
      <w:r>
        <w:rPr>
          <w:rFonts w:hint="eastAsia"/>
          <w:lang w:val="en-US" w:eastAsia="zh-CN"/>
        </w:rPr>
        <w:t>研发成果及说明</w:t>
      </w:r>
      <w:bookmarkEnd w:id="0"/>
    </w:p>
    <w:p w14:paraId="5CB16FF5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7459"/>
      <w:r>
        <w:t>中达丰集团有限公司</w:t>
      </w:r>
      <w:bookmarkEnd w:id="1"/>
    </w:p>
    <w:p w14:paraId="593527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2025年</w:t>
      </w:r>
      <w:r>
        <w:rPr>
          <w:rFonts w:hint="eastAsia" w:ascii="宋体" w:hAnsi="宋体" w:cs="宋体"/>
          <w:sz w:val="36"/>
          <w:szCs w:val="36"/>
          <w:lang w:val="en-US" w:eastAsia="zh-CN"/>
        </w:rPr>
        <w:t>12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月</w:t>
      </w:r>
      <w:r>
        <w:rPr>
          <w:rFonts w:hint="eastAsia" w:ascii="宋体" w:hAnsi="宋体" w:cs="宋体"/>
          <w:sz w:val="36"/>
          <w:szCs w:val="36"/>
          <w:lang w:val="en-US" w:eastAsia="zh-CN"/>
        </w:rPr>
        <w:t>31</w:t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日</w:t>
      </w:r>
    </w:p>
    <w:p w14:paraId="5DD2E5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6092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75C3CC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07F523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20D9F33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005D0A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运维服务技术研发规划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YWFWJSYF</w:t>
            </w:r>
            <w:r>
              <w:rPr>
                <w:spacing w:val="-1"/>
              </w:rPr>
              <w:t>）</w:t>
            </w:r>
          </w:p>
        </w:tc>
      </w:tr>
      <w:tr w14:paraId="3EB5E4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387972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4EAAC9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0057FD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3E6FE9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6AB26F8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0DF688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3BC936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0E2F58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489E9E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50698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E6EE7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31</w:t>
            </w:r>
          </w:p>
        </w:tc>
        <w:tc>
          <w:tcPr>
            <w:tcW w:w="2302" w:type="dxa"/>
          </w:tcPr>
          <w:p w14:paraId="39890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197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秦立祥</w:t>
            </w:r>
          </w:p>
        </w:tc>
        <w:tc>
          <w:tcPr>
            <w:tcW w:w="1953" w:type="dxa"/>
          </w:tcPr>
          <w:p w14:paraId="2395AE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529E5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1BB4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665EF4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53E51B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4703D7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37C8237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2ACF9E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474" w:hRule="atLeast"/>
        </w:trPr>
        <w:tc>
          <w:tcPr>
            <w:tcW w:w="1704" w:type="dxa"/>
          </w:tcPr>
          <w:p w14:paraId="2BEB31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29DF1F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F0B17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6A3AA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58F6D2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337C8F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621CD5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15FB1D8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0135E5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399702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3CB61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CC0AB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52899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2A82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5301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80DC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3A2815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7DD58A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582AE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p w14:paraId="1835D47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4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3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6D641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49F3AB0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_Toc28961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公司</w:t>
          </w:r>
          <w:r>
            <w:t>运维</w:t>
          </w:r>
          <w:r>
            <w:rPr>
              <w:rFonts w:hint="eastAsia"/>
              <w:lang w:val="en-US" w:eastAsia="zh-CN"/>
            </w:rPr>
            <w:t>研发成果及说明</w:t>
          </w:r>
          <w:r>
            <w:tab/>
          </w:r>
          <w:r>
            <w:fldChar w:fldCharType="begin"/>
          </w:r>
          <w:r>
            <w:instrText xml:space="preserve"> PAGEREF _Toc28961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BB45D24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_Toc17459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_Toc17459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841E99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_Toc26092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_Toc26092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7AD6F99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_Toc12582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运维技术研发实施</w:t>
          </w:r>
          <w:r>
            <w:tab/>
          </w:r>
          <w:r>
            <w:fldChar w:fldCharType="begin"/>
          </w:r>
          <w:r>
            <w:instrText xml:space="preserve"> PAGEREF _Toc12582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0CE5DEA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_Toc31418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充电桩智能监控移动端研发</w:t>
          </w:r>
          <w:r>
            <w:tab/>
          </w:r>
          <w:r>
            <w:fldChar w:fldCharType="begin"/>
          </w:r>
          <w:r>
            <w:instrText xml:space="preserve"> PAGEREF _Toc31418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E31D64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_Toc9957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1.1.1. 工具优化描述</w:t>
          </w:r>
          <w:r>
            <w:tab/>
          </w:r>
          <w:r>
            <w:fldChar w:fldCharType="begin"/>
          </w:r>
          <w:r>
            <w:instrText xml:space="preserve"> PAGEREF _Toc9957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E5ADA4E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_Toc10143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1.1.2. 进度时间表</w:t>
          </w:r>
          <w:r>
            <w:tab/>
          </w:r>
          <w:r>
            <w:fldChar w:fldCharType="begin"/>
          </w:r>
          <w:r>
            <w:instrText xml:space="preserve"> PAGEREF _Toc10143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23FDA8D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_Toc30193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1.1.3. 实际人力投入</w:t>
          </w:r>
          <w:r>
            <w:tab/>
          </w:r>
          <w:r>
            <w:fldChar w:fldCharType="begin"/>
          </w:r>
          <w:r>
            <w:instrText xml:space="preserve"> PAGEREF _Toc30193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6498BD1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_Toc14569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1.1.4. 质量要求</w:t>
          </w:r>
          <w:r>
            <w:tab/>
          </w:r>
          <w:r>
            <w:fldChar w:fldCharType="begin"/>
          </w:r>
          <w:r>
            <w:instrText xml:space="preserve"> PAGEREF _Toc14569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999FAB9">
          <w:pPr>
            <w:pStyle w:val="13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_Toc18409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1.1.5. 工具优化应用</w:t>
          </w:r>
          <w:r>
            <w:tab/>
          </w:r>
          <w:r>
            <w:fldChar w:fldCharType="begin"/>
          </w:r>
          <w:r>
            <w:instrText xml:space="preserve"> PAGEREF _Toc18409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573DF0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_Toc11803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运维手册研发</w:t>
          </w:r>
          <w:r>
            <w:tab/>
          </w:r>
          <w:r>
            <w:fldChar w:fldCharType="begin"/>
          </w:r>
          <w:r>
            <w:instrText xml:space="preserve"> PAGEREF _Toc11803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347E67E">
          <w:pPr>
            <w:pStyle w:val="17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_Toc12576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新技术</w:t>
          </w:r>
          <w:r>
            <w:rPr>
              <w:rFonts w:hint="eastAsia"/>
              <w:lang w:val="en-US" w:eastAsia="zh-CN"/>
            </w:rPr>
            <w:t>研发</w:t>
          </w:r>
          <w:r>
            <w:tab/>
          </w:r>
          <w:r>
            <w:fldChar w:fldCharType="begin"/>
          </w:r>
          <w:r>
            <w:instrText xml:space="preserve"> PAGEREF _Toc12576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EB87FE3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_Toc31155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研发经费使用情况</w:t>
          </w:r>
          <w:r>
            <w:tab/>
          </w:r>
          <w:r>
            <w:fldChar w:fldCharType="begin"/>
          </w:r>
          <w:r>
            <w:instrText xml:space="preserve"> PAGEREF _Toc31155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959C83D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_Toc5060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总结</w:t>
          </w:r>
          <w:r>
            <w:tab/>
          </w:r>
          <w:r>
            <w:fldChar w:fldCharType="begin"/>
          </w:r>
          <w:r>
            <w:instrText xml:space="preserve"> PAGEREF _Toc5060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E51586D">
          <w:pPr>
            <w:pStyle w:val="16"/>
            <w:tabs>
              <w:tab w:val="right" w:leader="dot" w:pos="8554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_Toc28710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下一步计划</w:t>
          </w:r>
          <w:r>
            <w:tab/>
          </w:r>
          <w:r>
            <w:fldChar w:fldCharType="begin"/>
          </w:r>
          <w:r>
            <w:instrText xml:space="preserve"> PAGEREF _Toc28710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05B9E3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20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14301CD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5" w:type="default"/>
          <w:pgSz w:w="11906" w:h="16839"/>
          <w:pgMar w:top="1431" w:right="1567" w:bottom="1146" w:left="1785" w:header="0" w:footer="896" w:gutter="0"/>
          <w:cols w:space="720" w:num="1"/>
        </w:sectPr>
      </w:pPr>
    </w:p>
    <w:p w14:paraId="599A5F68">
      <w:pPr>
        <w:pStyle w:val="27"/>
        <w:bidi w:val="0"/>
        <w:rPr>
          <w:rFonts w:hint="default"/>
          <w:lang w:val="en-US" w:eastAsia="zh-CN"/>
        </w:rPr>
      </w:pPr>
    </w:p>
    <w:p w14:paraId="6DC716AA">
      <w:pPr>
        <w:pStyle w:val="26"/>
        <w:bidi w:val="0"/>
        <w:rPr>
          <w:rFonts w:hint="default"/>
          <w:lang w:val="en-US" w:eastAsia="zh-CN"/>
        </w:rPr>
      </w:pPr>
      <w:bookmarkStart w:id="3" w:name="_Toc12582"/>
      <w:r>
        <w:rPr>
          <w:rFonts w:hint="default"/>
          <w:lang w:val="en-US" w:eastAsia="zh-CN"/>
        </w:rPr>
        <w:t>运维技术研发实施</w:t>
      </w:r>
      <w:bookmarkEnd w:id="3"/>
    </w:p>
    <w:p w14:paraId="3F10166B">
      <w:pPr>
        <w:pStyle w:val="28"/>
        <w:bidi w:val="0"/>
        <w:rPr>
          <w:rFonts w:hint="default"/>
          <w:lang w:val="en-US" w:eastAsia="zh-CN"/>
        </w:rPr>
      </w:pPr>
      <w:bookmarkStart w:id="4" w:name="_Toc31418"/>
      <w:r>
        <w:rPr>
          <w:rFonts w:hint="default"/>
          <w:lang w:val="en-US" w:eastAsia="zh-CN"/>
        </w:rPr>
        <w:t>充电桩智能监控移动端研发</w:t>
      </w:r>
      <w:bookmarkEnd w:id="4"/>
    </w:p>
    <w:p w14:paraId="56C29509">
      <w:pPr>
        <w:pStyle w:val="29"/>
        <w:bidi w:val="0"/>
        <w:rPr>
          <w:rFonts w:hint="default"/>
          <w:lang w:val="en-US" w:eastAsia="zh-CN"/>
        </w:rPr>
      </w:pPr>
      <w:bookmarkStart w:id="5" w:name="_Toc9957"/>
      <w:r>
        <w:rPr>
          <w:rFonts w:hint="default"/>
          <w:lang w:val="en-US" w:eastAsia="zh-CN"/>
        </w:rPr>
        <w:t>工具优化描述</w:t>
      </w:r>
      <w:bookmarkEnd w:id="5"/>
    </w:p>
    <w:p w14:paraId="1B6CBBE5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公司已上线的充电桩智能监控电脑端系统，为满足运维人员移动办公、现场巡检、应急响应等场景需求，成功研发了配套的移动端监控应用。该应用完整继承了电脑端核心监控功能，并针对移动设备特性进行了深度优化设计，实现了以下关键功能提升：</w:t>
      </w:r>
    </w:p>
    <w:p w14:paraId="6BBDEC2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全景移动监控看板：支持按站点、设备状态分类展示，实时刷新设备运行数据。</w:t>
      </w:r>
    </w:p>
    <w:p w14:paraId="6F278A00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设备详情与远程操作：集成实时数据展示、历史查询、设备重启、参数调整等功能。</w:t>
      </w:r>
    </w:p>
    <w:p w14:paraId="00E32F52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智能巡检任务管理：支持GPS定位签到、拍照上传、异常上报、自动报告生成。</w:t>
      </w:r>
    </w:p>
    <w:p w14:paraId="7FF19C8B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应急响应与告警推送：实现多级告警实时推送、应急处理指引、现场状态实时更新。</w:t>
      </w:r>
    </w:p>
    <w:p w14:paraId="35A56271">
      <w:pPr>
        <w:pStyle w:val="2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视频监控移动化：集成现场摄像头实时画面，支持截图、录像回放与画质自适应。</w:t>
      </w:r>
    </w:p>
    <w:p w14:paraId="2DAB7E55">
      <w:pPr>
        <w:pStyle w:val="27"/>
        <w:bidi w:val="0"/>
        <w:jc w:val="center"/>
      </w:pPr>
      <w:r>
        <w:drawing>
          <wp:inline distT="0" distB="0" distL="114300" distR="114300">
            <wp:extent cx="3771900" cy="6867525"/>
            <wp:effectExtent l="0" t="0" r="762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686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C261B">
      <w:pPr>
        <w:pStyle w:val="27"/>
        <w:bidi w:val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3705225" cy="8420100"/>
            <wp:effectExtent l="0" t="0" r="1333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842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762375" cy="5762625"/>
            <wp:effectExtent l="0" t="0" r="1905" b="133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576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00475" cy="8572500"/>
            <wp:effectExtent l="0" t="0" r="9525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48100" cy="8562975"/>
            <wp:effectExtent l="0" t="0" r="7620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856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A12BB">
      <w:pPr>
        <w:pStyle w:val="29"/>
        <w:bidi w:val="0"/>
        <w:rPr>
          <w:rFonts w:hint="default"/>
          <w:lang w:val="en-US" w:eastAsia="zh-CN"/>
        </w:rPr>
      </w:pPr>
      <w:bookmarkStart w:id="6" w:name="_Toc10143"/>
      <w:r>
        <w:rPr>
          <w:rFonts w:hint="default"/>
          <w:lang w:val="en-US" w:eastAsia="zh-CN"/>
        </w:rPr>
        <w:t>进度时间表</w:t>
      </w:r>
      <w:bookmarkEnd w:id="6"/>
    </w:p>
    <w:p w14:paraId="26533AD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研发团队</w:t>
      </w:r>
      <w:r>
        <w:rPr>
          <w:rFonts w:hint="default" w:ascii="宋体" w:hAnsi="宋体" w:cs="宋体"/>
          <w:sz w:val="24"/>
          <w:szCs w:val="24"/>
          <w:lang w:val="en-US" w:eastAsia="zh-CN"/>
        </w:rPr>
        <w:t>于2025年4月制定了《运维服务技术研发规划书》，明确研发目标、资源配置、时间进度、质量指标、预算及预期效益。任命秦立祥为项目组长，组建10人专项研发团队。</w:t>
      </w:r>
    </w:p>
    <w:p w14:paraId="34CBF60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研发团队与运维部、质量部、采购部等部门进行了多轮需求沟通，结合《充电桩智能监控移动端需求规格说明书》，形成完整的功能清单与技术方案，经研发部负责人审核、公司副总批准后实施。</w:t>
      </w:r>
    </w:p>
    <w:p w14:paraId="62415E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研发工作按计划分阶段推进，于2025年11月底完成全部功能开发与内部测试，12月进入试运行阶段，目前系统已具备上线条件。</w:t>
      </w:r>
    </w:p>
    <w:p w14:paraId="433961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研发完成情况进度表：</w:t>
      </w:r>
    </w:p>
    <w:tbl>
      <w:tblPr>
        <w:tblStyle w:val="20"/>
        <w:tblW w:w="874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0"/>
        <w:gridCol w:w="2303"/>
        <w:gridCol w:w="3720"/>
        <w:gridCol w:w="1048"/>
      </w:tblGrid>
      <w:tr w14:paraId="333FF9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670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FCED8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任务阶段</w:t>
            </w:r>
          </w:p>
        </w:tc>
        <w:tc>
          <w:tcPr>
            <w:tcW w:w="230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23F1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时间节点</w:t>
            </w:r>
          </w:p>
        </w:tc>
        <w:tc>
          <w:tcPr>
            <w:tcW w:w="37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91E5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工作内容</w:t>
            </w:r>
          </w:p>
        </w:tc>
        <w:tc>
          <w:tcPr>
            <w:tcW w:w="104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AFB5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项目进度</w:t>
            </w:r>
          </w:p>
        </w:tc>
      </w:tr>
      <w:tr w14:paraId="5F78C9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E107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项目规划与需求分析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50D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2025年4月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AD5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业务场景调研与需求确认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编写项目规划与需求规格说明书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0B06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2A8141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DFC1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技术方案设计与评审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59CC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2025年5月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F97D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iOS/Android技术选型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系统架构设计与接口规划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ABEC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4ECB9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7421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核心功能开发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7E4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2025年6月-9月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C0F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基础框架搭建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监控看板、设备详情、用户体系等模块开发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E79A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7F5CBF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8C11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移动特色功能开发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E50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2025年9月-11月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FE9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移动巡检、应急响应、视频监控适配开发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离线支持、位置服务等特色功能实现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AA500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1F476E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BFBE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内部测试与优化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1F32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2025年12月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80D63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功能测试、性能测试、安全测试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用户体验优化与BUG修复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B823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已完成</w:t>
            </w:r>
          </w:p>
        </w:tc>
      </w:tr>
      <w:tr w14:paraId="6052D0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C413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上线准备与培训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9E6C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2026年1月-3月（规划中）</w:t>
            </w:r>
          </w:p>
        </w:tc>
        <w:tc>
          <w:tcPr>
            <w:tcW w:w="3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290D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1. 应用商店上架审核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2. 运维团队培训与推广</w:t>
            </w:r>
          </w:p>
        </w:tc>
        <w:tc>
          <w:tcPr>
            <w:tcW w:w="10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4843E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未开始</w:t>
            </w:r>
          </w:p>
        </w:tc>
      </w:tr>
    </w:tbl>
    <w:p w14:paraId="2968A758">
      <w:pPr>
        <w:pStyle w:val="29"/>
        <w:bidi w:val="0"/>
        <w:rPr>
          <w:rFonts w:hint="default"/>
          <w:lang w:val="en-US" w:eastAsia="zh-CN"/>
        </w:rPr>
      </w:pPr>
      <w:bookmarkStart w:id="7" w:name="_Toc30193"/>
      <w:r>
        <w:rPr>
          <w:rFonts w:hint="default"/>
          <w:lang w:val="en-US" w:eastAsia="zh-CN"/>
        </w:rPr>
        <w:t>实际人力投入</w:t>
      </w:r>
      <w:bookmarkEnd w:id="7"/>
    </w:p>
    <w:tbl>
      <w:tblPr>
        <w:tblStyle w:val="20"/>
        <w:tblW w:w="87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2"/>
        <w:gridCol w:w="4120"/>
        <w:gridCol w:w="1393"/>
        <w:gridCol w:w="1393"/>
      </w:tblGrid>
      <w:tr w14:paraId="68341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832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851E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职位名称</w:t>
            </w:r>
          </w:p>
        </w:tc>
        <w:tc>
          <w:tcPr>
            <w:tcW w:w="41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FB5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职责描述</w:t>
            </w:r>
          </w:p>
        </w:tc>
        <w:tc>
          <w:tcPr>
            <w:tcW w:w="139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D45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投入人数</w:t>
            </w:r>
          </w:p>
        </w:tc>
        <w:tc>
          <w:tcPr>
            <w:tcW w:w="139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DBD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人员名单</w:t>
            </w:r>
          </w:p>
        </w:tc>
      </w:tr>
      <w:tr w14:paraId="7B14A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27557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运维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项目经理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C03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项目统筹、资源协调、进度管理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81D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1108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秦立祥</w:t>
            </w:r>
          </w:p>
        </w:tc>
      </w:tr>
      <w:tr w14:paraId="561A9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7F5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需求工程师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7607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需求分析、产品设计、业务对接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F3B6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9F85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张明</w:t>
            </w:r>
          </w:p>
        </w:tc>
      </w:tr>
      <w:tr w14:paraId="583C79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8175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UI设计师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C5C8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界面设计、交互优化、设计规范制定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6E6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67B2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李悦</w:t>
            </w:r>
          </w:p>
        </w:tc>
      </w:tr>
      <w:tr w14:paraId="36C7C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FD4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sz w:val="18"/>
                <w:szCs w:val="18"/>
                <w:lang w:val="en-US" w:eastAsia="zh-CN"/>
              </w:rPr>
              <w:t>软件工程师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F96C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iOS端应用开发、性能优化</w:t>
            </w:r>
          </w:p>
          <w:p w14:paraId="49EA95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Android端应用开发、兼容性适配</w:t>
            </w:r>
          </w:p>
          <w:p w14:paraId="1B0E9C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接口扩展、数据同步、服务端优化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7EF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E163E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刘洋、陈静</w:t>
            </w:r>
          </w:p>
          <w:p w14:paraId="1C7398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王磊、赵娜</w:t>
            </w:r>
          </w:p>
          <w:p w14:paraId="04E64A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孙伟</w:t>
            </w:r>
          </w:p>
        </w:tc>
      </w:tr>
      <w:tr w14:paraId="4E68B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0602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软件</w:t>
            </w: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测试工程师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1C8A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功能测试、性能测试、安全测试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0D1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2人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5B40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周涛、吴琳</w:t>
            </w:r>
          </w:p>
        </w:tc>
      </w:tr>
      <w:tr w14:paraId="0AB4C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3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E4C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合计</w:t>
            </w:r>
          </w:p>
        </w:tc>
        <w:tc>
          <w:tcPr>
            <w:tcW w:w="41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6BB8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432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 w:bidi="ar"/>
              </w:rPr>
              <w:t>10人</w:t>
            </w:r>
          </w:p>
        </w:tc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vAlign w:val="center"/>
          </w:tcPr>
          <w:p w14:paraId="4CF9CAE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Segoe UI" w:eastAsia="Segoe UI"/>
                <w:b/>
                <w:sz w:val="18"/>
                <w:szCs w:val="24"/>
              </w:rPr>
            </w:pPr>
          </w:p>
        </w:tc>
      </w:tr>
    </w:tbl>
    <w:p w14:paraId="5A602F11">
      <w:pPr>
        <w:pStyle w:val="29"/>
        <w:bidi w:val="0"/>
        <w:rPr>
          <w:rFonts w:hint="default"/>
          <w:lang w:val="en-US" w:eastAsia="zh-CN"/>
        </w:rPr>
      </w:pPr>
      <w:bookmarkStart w:id="8" w:name="_Toc14569"/>
      <w:r>
        <w:rPr>
          <w:rFonts w:hint="default"/>
          <w:lang w:val="en-US" w:eastAsia="zh-CN"/>
        </w:rPr>
        <w:t>质量要求</w:t>
      </w:r>
      <w:bookmarkEnd w:id="8"/>
    </w:p>
    <w:p w14:paraId="7F655F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性能达标：系统启动时间≤3秒，页面加载≤2秒，数据同步延迟≤5秒，已通过性能测试验证。</w:t>
      </w:r>
    </w:p>
    <w:p w14:paraId="4310B9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兼容性保障：支持iOS 14+、Android 10+系统，适配主流手机与平板设备。</w:t>
      </w:r>
    </w:p>
    <w:p w14:paraId="3019CE7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安全可靠：全程HTTPS加密传输，敏感数据本地加密存储，通过基础安全渗透测试。</w:t>
      </w:r>
    </w:p>
    <w:p w14:paraId="7CC1AE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可维护性：采用模块化设计，接口规范清晰，便于后续功能扩展与版本迭代。</w:t>
      </w:r>
    </w:p>
    <w:p w14:paraId="7ECD5F5F">
      <w:pPr>
        <w:pStyle w:val="29"/>
        <w:bidi w:val="0"/>
        <w:rPr>
          <w:rFonts w:hint="default"/>
          <w:lang w:val="en-US" w:eastAsia="zh-CN"/>
        </w:rPr>
      </w:pPr>
      <w:bookmarkStart w:id="9" w:name="_Toc18409"/>
      <w:r>
        <w:rPr>
          <w:rFonts w:hint="default"/>
          <w:lang w:val="en-US" w:eastAsia="zh-CN"/>
        </w:rPr>
        <w:t>工具优化应用</w:t>
      </w:r>
      <w:bookmarkEnd w:id="9"/>
    </w:p>
    <w:p w14:paraId="67DFC07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自2025年12月试运行以来，移动端应用已在运维团队中小范围试用，初步反馈良好：</w:t>
      </w:r>
    </w:p>
    <w:p w14:paraId="0273A8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运维效率提升：现场故障处理时间平均缩短约40%，巡检任务完成效率提升约30%。</w:t>
      </w:r>
    </w:p>
    <w:p w14:paraId="2606602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响应速度加快：告警信息实时推送，应急响应时间显著缩短。</w:t>
      </w:r>
    </w:p>
    <w:p w14:paraId="6928ED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操作便捷性增强：移动端界面简洁、交互流畅，支持离线操作与语音辅助，提升现场作业体验。</w:t>
      </w:r>
    </w:p>
    <w:p w14:paraId="17274AD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数据一致性保障：与电脑端系统实时同步，确保监控数据准确一致。</w:t>
      </w:r>
    </w:p>
    <w:p w14:paraId="2BA2D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预计2026年正式上线后，将进一步推动运维工作向“移动化、智能化、协同化”转型。</w:t>
      </w:r>
    </w:p>
    <w:p w14:paraId="1078723A">
      <w:pPr>
        <w:pStyle w:val="28"/>
        <w:bidi w:val="0"/>
        <w:rPr>
          <w:rFonts w:hint="default"/>
          <w:lang w:val="en-US" w:eastAsia="zh-CN"/>
        </w:rPr>
      </w:pPr>
      <w:bookmarkStart w:id="10" w:name="_Toc11803"/>
      <w:r>
        <w:rPr>
          <w:rFonts w:hint="default"/>
          <w:lang w:val="en-US" w:eastAsia="zh-CN"/>
        </w:rPr>
        <w:t>运维手册研发</w:t>
      </w:r>
      <w:bookmarkEnd w:id="10"/>
    </w:p>
    <w:p w14:paraId="15C1161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为提高运维工程师工作效率、规范操作流程、降低人为失误，公司于2025年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4月</w:t>
      </w:r>
      <w:r>
        <w:rPr>
          <w:rFonts w:hint="default" w:ascii="宋体" w:hAnsi="宋体" w:cs="宋体"/>
          <w:sz w:val="24"/>
          <w:szCs w:val="24"/>
          <w:lang w:val="en-US" w:eastAsia="zh-CN"/>
        </w:rPr>
        <w:t>启动运维手册研发专项。截至2025年12月，已完成以下手册的初稿编写与内部评审：</w:t>
      </w:r>
    </w:p>
    <w:p w14:paraId="481E44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《PC服务器标准化操作作业指导书》</w:t>
      </w:r>
    </w:p>
    <w:p w14:paraId="25FAD3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《PC服务器巡检表》</w:t>
      </w:r>
    </w:p>
    <w:p w14:paraId="254FD6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《数据库巡检手册》</w:t>
      </w:r>
    </w:p>
    <w:p w14:paraId="0E9E46F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手册内容基于公司实际运维场景，涵盖操作流程、风险提示、应急回滚、记录规范等，已于2025年1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</w:t>
      </w:r>
      <w:r>
        <w:rPr>
          <w:rFonts w:hint="default" w:ascii="宋体" w:hAnsi="宋体" w:cs="宋体"/>
          <w:sz w:val="24"/>
          <w:szCs w:val="24"/>
          <w:lang w:val="en-US" w:eastAsia="zh-CN"/>
        </w:rPr>
        <w:t>月完成内部评审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并投入使用</w:t>
      </w:r>
      <w:r>
        <w:rPr>
          <w:rFonts w:hint="default" w:ascii="宋体" w:hAnsi="宋体" w:cs="宋体"/>
          <w:sz w:val="24"/>
          <w:szCs w:val="24"/>
          <w:lang w:val="en-US" w:eastAsia="zh-CN"/>
        </w:rPr>
        <w:t>。</w:t>
      </w:r>
    </w:p>
    <w:p w14:paraId="02C33B3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目前手册研发专项已使用经费约4万元，主要用于资料收集、编写评审、模板设计等工作。</w:t>
      </w:r>
    </w:p>
    <w:p w14:paraId="25491E9B">
      <w:pPr>
        <w:pStyle w:val="28"/>
        <w:bidi w:val="0"/>
        <w:rPr>
          <w:rFonts w:hint="default"/>
          <w:lang w:val="en-US" w:eastAsia="zh-CN"/>
        </w:rPr>
      </w:pPr>
      <w:bookmarkStart w:id="11" w:name="_Toc12576"/>
      <w:r>
        <w:rPr>
          <w:rFonts w:hint="default"/>
          <w:lang w:val="en-US" w:eastAsia="zh-CN"/>
        </w:rPr>
        <w:t>新技术</w:t>
      </w:r>
      <w:r>
        <w:rPr>
          <w:rFonts w:hint="eastAsia"/>
          <w:lang w:val="en-US" w:eastAsia="zh-CN"/>
        </w:rPr>
        <w:t>研发</w:t>
      </w:r>
      <w:bookmarkEnd w:id="11"/>
    </w:p>
    <w:p w14:paraId="1EE8FF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为保持技术前瞻性，公司于2025年6月成立新技术预研小组，围绕充电桩运维场景开展以下方向的技术探索：</w:t>
      </w:r>
    </w:p>
    <w:p w14:paraId="525614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边缘计算与轻量化AI：已完成算法场景调研与可行性分析，计划于2026年初构建原型验证环境。</w:t>
      </w:r>
    </w:p>
    <w:p w14:paraId="7EAAFF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物联网协议优化：对MQTT over QUIC、CoAP等新协议进行初步测试，形成技术对比报告。</w:t>
      </w:r>
    </w:p>
    <w:p w14:paraId="50B8F76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数字孪生可视化：完成技术选型调研，初步构建了充电站三维可视化Demo框架。</w:t>
      </w:r>
    </w:p>
    <w:p w14:paraId="0FB86F5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新技术预研已使用经费约3万元，预计2026年2月完成首阶段技术验证与评估报告。</w:t>
      </w:r>
    </w:p>
    <w:p w14:paraId="0CCF1A61">
      <w:pPr>
        <w:pStyle w:val="26"/>
        <w:bidi w:val="0"/>
        <w:rPr>
          <w:rFonts w:hint="default"/>
          <w:lang w:val="en-US" w:eastAsia="zh-CN"/>
        </w:rPr>
      </w:pPr>
      <w:bookmarkStart w:id="12" w:name="_Toc31155"/>
      <w:r>
        <w:rPr>
          <w:rFonts w:hint="default"/>
          <w:lang w:val="en-US" w:eastAsia="zh-CN"/>
        </w:rPr>
        <w:t>研发经费使用情况</w:t>
      </w:r>
      <w:bookmarkEnd w:id="12"/>
    </w:p>
    <w:p w14:paraId="4909C1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本项目预算总额为175万元，截至2025年12月31日，实际使用经费约152万元，在预算范围内严格控制使用。主要支出情况如下：</w:t>
      </w:r>
    </w:p>
    <w:p w14:paraId="313BCF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设备采购费用：7.8万元，用于采购测试手机、平板、开发设备等，均按公司采购流程办理入库领用。</w:t>
      </w:r>
    </w:p>
    <w:p w14:paraId="70C76E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软件与云服务费用：9.2万元，包括开发工具授权、云服务器、推送服务、测试环境等。</w:t>
      </w:r>
    </w:p>
    <w:p w14:paraId="788DA8A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人力成本：约130万元，主要为研发人员工资、奖金、津贴等。</w:t>
      </w:r>
    </w:p>
    <w:p w14:paraId="39762C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专项费用：手册研发与新技术预研已启动，支出约5万元。</w:t>
      </w:r>
    </w:p>
    <w:p w14:paraId="57989C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剩余经费将用于2026年上线推广、培训及后续优化工作。</w:t>
      </w:r>
    </w:p>
    <w:p w14:paraId="7CDD2E3F">
      <w:pPr>
        <w:pStyle w:val="27"/>
        <w:bidi w:val="0"/>
        <w:rPr>
          <w:rFonts w:hint="default"/>
          <w:lang w:val="en-US" w:eastAsia="zh-CN"/>
        </w:rPr>
      </w:pPr>
    </w:p>
    <w:p w14:paraId="4A615986">
      <w:pPr>
        <w:pStyle w:val="26"/>
        <w:bidi w:val="0"/>
        <w:rPr>
          <w:rFonts w:hint="default"/>
          <w:lang w:val="en-US" w:eastAsia="zh-CN"/>
        </w:rPr>
      </w:pPr>
      <w:bookmarkStart w:id="13" w:name="_Toc5060"/>
      <w:r>
        <w:rPr>
          <w:rFonts w:hint="default"/>
          <w:lang w:val="en-US" w:eastAsia="zh-CN"/>
        </w:rPr>
        <w:t>总结</w:t>
      </w:r>
      <w:bookmarkEnd w:id="13"/>
    </w:p>
    <w:p w14:paraId="0209B5B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截至2025年12月，充电桩智能监控移动端研发项目按计划稳步推进，已完成全部功能开发与内部测试，进入试运行阶段。运维手册研发与新技术预研工作同步开展，初步成果已形成。</w:t>
      </w:r>
    </w:p>
    <w:p w14:paraId="35EF55C5">
      <w:pPr>
        <w:pStyle w:val="26"/>
        <w:bidi w:val="0"/>
        <w:rPr>
          <w:rFonts w:hint="default"/>
          <w:lang w:val="en-US" w:eastAsia="zh-CN"/>
        </w:rPr>
      </w:pPr>
      <w:bookmarkStart w:id="14" w:name="_Toc28710"/>
      <w:r>
        <w:rPr>
          <w:rFonts w:hint="default"/>
          <w:lang w:val="en-US" w:eastAsia="zh-CN"/>
        </w:rPr>
        <w:t>下一步计划</w:t>
      </w:r>
      <w:bookmarkEnd w:id="14"/>
    </w:p>
    <w:p w14:paraId="02F89A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2026年1月完成应用商店上架审核，启动全员培训。</w:t>
      </w:r>
    </w:p>
    <w:p w14:paraId="7B98008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2026年2月正式上线推广，持续收集用户反馈。</w:t>
      </w:r>
    </w:p>
    <w:p w14:paraId="50E3B8F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2026年3月完成运维手册发布与新技术预研阶段总结。</w:t>
      </w:r>
    </w:p>
    <w:p w14:paraId="63E464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7" w:line="377" w:lineRule="auto"/>
        <w:ind w:left="129" w:right="270" w:firstLine="523"/>
        <w:jc w:val="both"/>
        <w:textAlignment w:val="baseline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本项目实施将进一步强化公司运维服务能力，提升客户满意度，为业务持续发展提供有力支撑。</w:t>
      </w:r>
    </w:p>
    <w:sectPr>
      <w:footerReference r:id="rId6" w:type="default"/>
      <w:pgSz w:w="11906" w:h="16839"/>
      <w:pgMar w:top="1325" w:right="1678" w:bottom="1640" w:left="1679" w:header="0" w:footer="139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CC55BB">
    <w:pPr>
      <w:spacing w:line="210" w:lineRule="auto"/>
      <w:ind w:left="3928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2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2289BF">
    <w:pPr>
      <w:spacing w:line="210" w:lineRule="auto"/>
      <w:ind w:left="3914"/>
      <w:rPr>
        <w:rFonts w:ascii="宋体" w:hAnsi="宋体" w:eastAsia="宋体" w:cs="宋体"/>
        <w:sz w:val="21"/>
        <w:szCs w:val="21"/>
      </w:rPr>
    </w:pPr>
    <w:r>
      <w:rPr>
        <w:rFonts w:ascii="宋体" w:hAnsi="宋体" w:eastAsia="宋体" w:cs="宋体"/>
        <w:spacing w:val="-7"/>
        <w:sz w:val="21"/>
        <w:szCs w:val="21"/>
      </w:rPr>
      <w:t>第</w:t>
    </w:r>
    <w:r>
      <w:rPr>
        <w:rFonts w:ascii="宋体" w:hAnsi="宋体" w:eastAsia="宋体" w:cs="宋体"/>
        <w:spacing w:val="11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6</w:t>
    </w:r>
    <w:r>
      <w:rPr>
        <w:rFonts w:ascii="宋体" w:hAnsi="宋体" w:eastAsia="宋体" w:cs="宋体"/>
        <w:spacing w:val="14"/>
        <w:sz w:val="21"/>
        <w:szCs w:val="21"/>
      </w:rPr>
      <w:t xml:space="preserve"> </w:t>
    </w:r>
    <w:r>
      <w:rPr>
        <w:rFonts w:ascii="宋体" w:hAnsi="宋体" w:eastAsia="宋体" w:cs="宋体"/>
        <w:spacing w:val="-7"/>
        <w:sz w:val="21"/>
        <w:szCs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3D1872"/>
    <w:rsid w:val="04F82B4C"/>
    <w:rsid w:val="08964B56"/>
    <w:rsid w:val="0B2D79F3"/>
    <w:rsid w:val="0BD146CA"/>
    <w:rsid w:val="0DAB3902"/>
    <w:rsid w:val="10CB06DF"/>
    <w:rsid w:val="120B2110"/>
    <w:rsid w:val="147A1A88"/>
    <w:rsid w:val="148A20F2"/>
    <w:rsid w:val="18CA12F2"/>
    <w:rsid w:val="18FE477D"/>
    <w:rsid w:val="19487651"/>
    <w:rsid w:val="1B3E3557"/>
    <w:rsid w:val="1B96619D"/>
    <w:rsid w:val="20E029BA"/>
    <w:rsid w:val="24D77443"/>
    <w:rsid w:val="29437F8A"/>
    <w:rsid w:val="2D656721"/>
    <w:rsid w:val="2F266D26"/>
    <w:rsid w:val="34833930"/>
    <w:rsid w:val="35942299"/>
    <w:rsid w:val="363D212B"/>
    <w:rsid w:val="36DA0180"/>
    <w:rsid w:val="384C640F"/>
    <w:rsid w:val="38974706"/>
    <w:rsid w:val="38B922A4"/>
    <w:rsid w:val="3B7566C9"/>
    <w:rsid w:val="3E4800C5"/>
    <w:rsid w:val="3EC040FF"/>
    <w:rsid w:val="406465DD"/>
    <w:rsid w:val="42CB7074"/>
    <w:rsid w:val="430C13E4"/>
    <w:rsid w:val="478E4A58"/>
    <w:rsid w:val="491A1FFD"/>
    <w:rsid w:val="4AB344ED"/>
    <w:rsid w:val="4BDC009E"/>
    <w:rsid w:val="4C3954F1"/>
    <w:rsid w:val="4CDA2830"/>
    <w:rsid w:val="524D7600"/>
    <w:rsid w:val="52911BE2"/>
    <w:rsid w:val="548656FA"/>
    <w:rsid w:val="56527255"/>
    <w:rsid w:val="58254B7B"/>
    <w:rsid w:val="590E4F6C"/>
    <w:rsid w:val="596A4F3B"/>
    <w:rsid w:val="5B8F47E5"/>
    <w:rsid w:val="5D015BB7"/>
    <w:rsid w:val="5D213B63"/>
    <w:rsid w:val="5F1863C2"/>
    <w:rsid w:val="60E05AE3"/>
    <w:rsid w:val="613631DE"/>
    <w:rsid w:val="61EB0BE3"/>
    <w:rsid w:val="65464664"/>
    <w:rsid w:val="6F3E2352"/>
    <w:rsid w:val="71C07D17"/>
    <w:rsid w:val="71CE2F82"/>
    <w:rsid w:val="72A93F87"/>
    <w:rsid w:val="73F440E1"/>
    <w:rsid w:val="757A0661"/>
    <w:rsid w:val="7ABD2CC5"/>
    <w:rsid w:val="7B562CF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2393</Words>
  <Characters>2639</Characters>
  <Lines>0</Lines>
  <Paragraphs>0</Paragraphs>
  <TotalTime>0</TotalTime>
  <ScaleCrop>false</ScaleCrop>
  <LinksUpToDate>false</LinksUpToDate>
  <CharactersWithSpaces>2712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2025-08-16T03:18:00Z</dcterms:created>
  <dc:creator>PC</dc:creator>
  <cp:lastModifiedBy>郝宇</cp:lastModifiedBy>
  <dcterms:modified xsi:type="dcterms:W3CDTF">2026-02-26T12:30:12Z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2025-08-21T14:50:01Z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DF7A049D90884D62A12A6E8581A98648_12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