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9F2117">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p>
    <w:p w14:paraId="4C6C7BDA">
      <w:pPr>
        <w:pStyle w:val="31"/>
        <w:keepNext w:val="0"/>
        <w:keepLines w:val="0"/>
        <w:pageBreakBefore w:val="0"/>
        <w:widowControl w:val="0"/>
        <w:kinsoku w:val="0"/>
        <w:wordWrap/>
        <w:overflowPunct/>
        <w:topLinePunct w:val="0"/>
        <w:autoSpaceDE w:val="0"/>
        <w:autoSpaceDN w:val="0"/>
        <w:bidi w:val="0"/>
        <w:adjustRightInd w:val="0"/>
        <w:snapToGrid w:val="0"/>
        <w:textAlignment w:val="baseline"/>
      </w:pPr>
      <w:bookmarkStart w:id="0" w:name="_Toc11345"/>
      <w:r>
        <w:t>运维服务目录管理规范</w:t>
      </w:r>
      <w:bookmarkEnd w:id="0"/>
    </w:p>
    <w:p w14:paraId="36FF4AC1">
      <w:pPr>
        <w:pStyle w:val="32"/>
        <w:keepNext w:val="0"/>
        <w:keepLines w:val="0"/>
        <w:pageBreakBefore w:val="0"/>
        <w:widowControl w:val="0"/>
        <w:kinsoku w:val="0"/>
        <w:wordWrap/>
        <w:overflowPunct/>
        <w:topLinePunct w:val="0"/>
        <w:autoSpaceDE w:val="0"/>
        <w:autoSpaceDN w:val="0"/>
        <w:bidi w:val="0"/>
        <w:adjustRightInd w:val="0"/>
        <w:snapToGrid w:val="0"/>
        <w:textAlignment w:val="baseline"/>
      </w:pPr>
      <w:bookmarkStart w:id="1" w:name="_Toc15381"/>
      <w:r>
        <w:t>中达丰集团有限公司</w:t>
      </w:r>
      <w:bookmarkEnd w:id="1"/>
    </w:p>
    <w:p w14:paraId="4729789E">
      <w:pPr>
        <w:keepNext w:val="0"/>
        <w:keepLines w:val="0"/>
        <w:pageBreakBefore w:val="0"/>
        <w:widowControl w:val="0"/>
        <w:kinsoku w:val="0"/>
        <w:wordWrap/>
        <w:overflowPunct/>
        <w:topLinePunct w:val="0"/>
        <w:autoSpaceDE w:val="0"/>
        <w:autoSpaceDN w:val="0"/>
        <w:bidi w:val="0"/>
        <w:adjustRightInd w:val="0"/>
        <w:snapToGrid w:val="0"/>
        <w:spacing w:before="196" w:line="225" w:lineRule="auto"/>
        <w:ind w:left="0" w:leftChars="0" w:right="0" w:rightChars="0" w:firstLine="0" w:firstLineChars="0"/>
        <w:jc w:val="center"/>
        <w:textAlignment w:val="baseline"/>
        <w:rPr>
          <w:rFonts w:ascii="宋体" w:hAnsi="宋体" w:eastAsia="宋体" w:cs="宋体"/>
          <w:sz w:val="35"/>
          <w:szCs w:val="35"/>
        </w:rPr>
      </w:pPr>
      <w:r>
        <w:rPr>
          <w:rFonts w:ascii="宋体" w:hAnsi="宋体" w:eastAsia="宋体" w:cs="宋体"/>
          <w:spacing w:val="-9"/>
          <w:sz w:val="35"/>
          <w:szCs w:val="35"/>
        </w:rPr>
        <w:t>2025年4月4日</w:t>
      </w:r>
    </w:p>
    <w:p w14:paraId="5724DB3A">
      <w:pPr>
        <w:keepNext w:val="0"/>
        <w:keepLines w:val="0"/>
        <w:pageBreakBefore w:val="0"/>
        <w:widowControl w:val="0"/>
        <w:kinsoku w:val="0"/>
        <w:wordWrap/>
        <w:overflowPunct/>
        <w:topLinePunct w:val="0"/>
        <w:autoSpaceDE w:val="0"/>
        <w:autoSpaceDN w:val="0"/>
        <w:bidi w:val="0"/>
        <w:adjustRightInd w:val="0"/>
        <w:snapToGrid w:val="0"/>
        <w:spacing w:line="225" w:lineRule="auto"/>
        <w:textAlignment w:val="baseline"/>
        <w:rPr>
          <w:rFonts w:ascii="宋体" w:hAnsi="宋体" w:eastAsia="宋体" w:cs="宋体"/>
          <w:sz w:val="35"/>
          <w:szCs w:val="35"/>
        </w:rPr>
        <w:sectPr>
          <w:pgSz w:w="11906" w:h="16840"/>
          <w:pgMar w:top="1431" w:right="1785" w:bottom="0" w:left="1785" w:header="0" w:footer="0" w:gutter="0"/>
          <w:cols w:space="720" w:num="1"/>
        </w:sectPr>
      </w:pPr>
    </w:p>
    <w:p w14:paraId="2801FA1E">
      <w:pPr>
        <w:keepNext w:val="0"/>
        <w:keepLines w:val="0"/>
        <w:pageBreakBefore w:val="0"/>
        <w:widowControl w:val="0"/>
        <w:kinsoku w:val="0"/>
        <w:wordWrap/>
        <w:overflowPunct/>
        <w:topLinePunct w:val="0"/>
        <w:autoSpaceDE w:val="0"/>
        <w:autoSpaceDN w:val="0"/>
        <w:bidi w:val="0"/>
        <w:adjustRightInd w:val="0"/>
        <w:snapToGrid w:val="0"/>
        <w:spacing w:before="197" w:line="220" w:lineRule="auto"/>
        <w:ind w:left="3945"/>
        <w:textAlignment w:val="baseline"/>
        <w:outlineLvl w:val="0"/>
        <w:rPr>
          <w:rFonts w:ascii="宋体" w:hAnsi="宋体" w:eastAsia="宋体" w:cs="宋体"/>
          <w:sz w:val="28"/>
          <w:szCs w:val="28"/>
        </w:rPr>
      </w:pPr>
      <w:bookmarkStart w:id="2" w:name="_Toc2853"/>
      <w:r>
        <w:rPr>
          <w:rFonts w:ascii="宋体" w:hAnsi="宋体" w:eastAsia="宋体" w:cs="宋体"/>
          <w:spacing w:val="-5"/>
          <w:sz w:val="28"/>
          <w:szCs w:val="28"/>
        </w:rPr>
        <w:t>文档信息</w:t>
      </w:r>
      <w:bookmarkEnd w:id="2"/>
    </w:p>
    <w:p w14:paraId="2C0A9D35">
      <w:pPr>
        <w:keepNext w:val="0"/>
        <w:keepLines w:val="0"/>
        <w:pageBreakBefore w:val="0"/>
        <w:widowControl w:val="0"/>
        <w:kinsoku w:val="0"/>
        <w:wordWrap/>
        <w:overflowPunct/>
        <w:topLinePunct w:val="0"/>
        <w:autoSpaceDE w:val="0"/>
        <w:autoSpaceDN w:val="0"/>
        <w:bidi w:val="0"/>
        <w:adjustRightInd w:val="0"/>
        <w:snapToGrid w:val="0"/>
        <w:spacing w:line="100" w:lineRule="exact"/>
        <w:textAlignment w:val="baseline"/>
      </w:pPr>
    </w:p>
    <w:tbl>
      <w:tblPr>
        <w:tblStyle w:val="24"/>
        <w:tblW w:w="9075"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67"/>
        <w:gridCol w:w="1695"/>
        <w:gridCol w:w="2301"/>
        <w:gridCol w:w="1556"/>
        <w:gridCol w:w="1956"/>
      </w:tblGrid>
      <w:tr w14:paraId="533563B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20" w:hRule="atLeast"/>
        </w:trPr>
        <w:tc>
          <w:tcPr>
            <w:tcW w:w="1567" w:type="dxa"/>
          </w:tcPr>
          <w:p w14:paraId="12D655AF">
            <w:pPr>
              <w:keepNext w:val="0"/>
              <w:keepLines w:val="0"/>
              <w:pageBreakBefore w:val="0"/>
              <w:widowControl w:val="0"/>
              <w:kinsoku w:val="0"/>
              <w:wordWrap/>
              <w:overflowPunct/>
              <w:topLinePunct w:val="0"/>
              <w:autoSpaceDE w:val="0"/>
              <w:autoSpaceDN w:val="0"/>
              <w:bidi w:val="0"/>
              <w:adjustRightInd w:val="0"/>
              <w:snapToGrid w:val="0"/>
              <w:spacing w:before="215" w:line="228" w:lineRule="auto"/>
              <w:ind w:left="168"/>
              <w:textAlignment w:val="baseline"/>
              <w:rPr>
                <w:rFonts w:ascii="宋体" w:hAnsi="宋体" w:eastAsia="宋体" w:cs="宋体"/>
                <w:sz w:val="20"/>
                <w:szCs w:val="20"/>
              </w:rPr>
            </w:pPr>
            <w:r>
              <w:rPr>
                <w:rFonts w:ascii="宋体" w:hAnsi="宋体" w:eastAsia="宋体" w:cs="宋体"/>
                <w:spacing w:val="6"/>
                <w:sz w:val="20"/>
                <w:szCs w:val="20"/>
              </w:rPr>
              <w:t>文档名称编号</w:t>
            </w:r>
          </w:p>
        </w:tc>
        <w:tc>
          <w:tcPr>
            <w:tcW w:w="7508" w:type="dxa"/>
            <w:gridSpan w:val="4"/>
          </w:tcPr>
          <w:p w14:paraId="69243DE3">
            <w:pPr>
              <w:keepNext w:val="0"/>
              <w:keepLines w:val="0"/>
              <w:pageBreakBefore w:val="0"/>
              <w:widowControl w:val="0"/>
              <w:kinsoku w:val="0"/>
              <w:wordWrap/>
              <w:overflowPunct/>
              <w:topLinePunct w:val="0"/>
              <w:autoSpaceDE w:val="0"/>
              <w:autoSpaceDN w:val="0"/>
              <w:bidi w:val="0"/>
              <w:adjustRightInd w:val="0"/>
              <w:snapToGrid w:val="0"/>
              <w:spacing w:before="215" w:line="228" w:lineRule="auto"/>
              <w:ind w:left="116"/>
              <w:textAlignment w:val="baseline"/>
              <w:rPr>
                <w:rFonts w:ascii="宋体" w:hAnsi="宋体" w:eastAsia="宋体" w:cs="宋体"/>
                <w:sz w:val="20"/>
                <w:szCs w:val="20"/>
              </w:rPr>
            </w:pPr>
            <w:r>
              <w:rPr>
                <w:rFonts w:ascii="宋体" w:hAnsi="宋体" w:eastAsia="宋体" w:cs="宋体"/>
                <w:spacing w:val="11"/>
                <w:sz w:val="20"/>
                <w:szCs w:val="20"/>
              </w:rPr>
              <w:t>运维服务目录管理规范（</w:t>
            </w:r>
            <w:r>
              <w:rPr>
                <w:rFonts w:ascii="宋体" w:hAnsi="宋体" w:eastAsia="宋体" w:cs="宋体"/>
                <w:sz w:val="20"/>
                <w:szCs w:val="20"/>
              </w:rPr>
              <w:t>ZDFJT</w:t>
            </w:r>
            <w:r>
              <w:rPr>
                <w:rFonts w:ascii="宋体" w:hAnsi="宋体" w:eastAsia="宋体" w:cs="宋体"/>
                <w:spacing w:val="11"/>
                <w:sz w:val="20"/>
                <w:szCs w:val="20"/>
              </w:rPr>
              <w:t>-</w:t>
            </w:r>
            <w:r>
              <w:rPr>
                <w:rFonts w:ascii="宋体" w:hAnsi="宋体" w:eastAsia="宋体" w:cs="宋体"/>
                <w:sz w:val="20"/>
                <w:szCs w:val="20"/>
              </w:rPr>
              <w:t>ITSS</w:t>
            </w:r>
            <w:r>
              <w:rPr>
                <w:rFonts w:ascii="宋体" w:hAnsi="宋体" w:eastAsia="宋体" w:cs="宋体"/>
                <w:spacing w:val="11"/>
                <w:sz w:val="20"/>
                <w:szCs w:val="20"/>
              </w:rPr>
              <w:t>-</w:t>
            </w:r>
            <w:r>
              <w:rPr>
                <w:rFonts w:ascii="宋体" w:hAnsi="宋体" w:eastAsia="宋体" w:cs="宋体"/>
                <w:sz w:val="20"/>
                <w:szCs w:val="20"/>
              </w:rPr>
              <w:t>FWMLGL</w:t>
            </w:r>
            <w:r>
              <w:rPr>
                <w:rFonts w:ascii="宋体" w:hAnsi="宋体" w:eastAsia="宋体" w:cs="宋体"/>
                <w:spacing w:val="11"/>
                <w:sz w:val="20"/>
                <w:szCs w:val="20"/>
              </w:rPr>
              <w:t>）</w:t>
            </w:r>
          </w:p>
        </w:tc>
      </w:tr>
      <w:tr w14:paraId="760FD3F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11" w:hRule="atLeast"/>
        </w:trPr>
        <w:tc>
          <w:tcPr>
            <w:tcW w:w="1567" w:type="dxa"/>
          </w:tcPr>
          <w:p w14:paraId="0FD35185">
            <w:pPr>
              <w:keepNext w:val="0"/>
              <w:keepLines w:val="0"/>
              <w:pageBreakBefore w:val="0"/>
              <w:widowControl w:val="0"/>
              <w:kinsoku w:val="0"/>
              <w:wordWrap/>
              <w:overflowPunct/>
              <w:topLinePunct w:val="0"/>
              <w:autoSpaceDE w:val="0"/>
              <w:autoSpaceDN w:val="0"/>
              <w:bidi w:val="0"/>
              <w:adjustRightInd w:val="0"/>
              <w:snapToGrid w:val="0"/>
              <w:spacing w:before="209" w:line="228" w:lineRule="auto"/>
              <w:ind w:left="377"/>
              <w:textAlignment w:val="baseline"/>
              <w:rPr>
                <w:rFonts w:ascii="宋体" w:hAnsi="宋体" w:eastAsia="宋体" w:cs="宋体"/>
                <w:sz w:val="20"/>
                <w:szCs w:val="20"/>
              </w:rPr>
            </w:pPr>
            <w:r>
              <w:rPr>
                <w:rFonts w:ascii="宋体" w:hAnsi="宋体" w:eastAsia="宋体" w:cs="宋体"/>
                <w:spacing w:val="5"/>
                <w:sz w:val="20"/>
                <w:szCs w:val="20"/>
              </w:rPr>
              <w:t>编制单位</w:t>
            </w:r>
          </w:p>
        </w:tc>
        <w:tc>
          <w:tcPr>
            <w:tcW w:w="7508" w:type="dxa"/>
            <w:gridSpan w:val="4"/>
          </w:tcPr>
          <w:p w14:paraId="113CE891">
            <w:pPr>
              <w:keepNext w:val="0"/>
              <w:keepLines w:val="0"/>
              <w:pageBreakBefore w:val="0"/>
              <w:widowControl w:val="0"/>
              <w:kinsoku w:val="0"/>
              <w:wordWrap/>
              <w:overflowPunct/>
              <w:topLinePunct w:val="0"/>
              <w:autoSpaceDE w:val="0"/>
              <w:autoSpaceDN w:val="0"/>
              <w:bidi w:val="0"/>
              <w:adjustRightInd w:val="0"/>
              <w:snapToGrid w:val="0"/>
              <w:spacing w:before="209" w:line="227" w:lineRule="auto"/>
              <w:ind w:left="116"/>
              <w:textAlignment w:val="baseline"/>
              <w:rPr>
                <w:rFonts w:ascii="宋体" w:hAnsi="宋体" w:eastAsia="宋体" w:cs="宋体"/>
                <w:sz w:val="20"/>
                <w:szCs w:val="20"/>
              </w:rPr>
            </w:pPr>
            <w:r>
              <w:rPr>
                <w:rFonts w:ascii="宋体" w:hAnsi="宋体" w:eastAsia="宋体" w:cs="宋体"/>
                <w:spacing w:val="8"/>
                <w:sz w:val="20"/>
                <w:szCs w:val="20"/>
              </w:rPr>
              <w:t>中达丰集团有限公司</w:t>
            </w:r>
          </w:p>
        </w:tc>
      </w:tr>
      <w:tr w14:paraId="4BFC1BF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611" w:hRule="atLeast"/>
        </w:trPr>
        <w:tc>
          <w:tcPr>
            <w:tcW w:w="1567" w:type="dxa"/>
          </w:tcPr>
          <w:p w14:paraId="6FD87C6B">
            <w:pPr>
              <w:keepNext w:val="0"/>
              <w:keepLines w:val="0"/>
              <w:pageBreakBefore w:val="0"/>
              <w:widowControl w:val="0"/>
              <w:kinsoku w:val="0"/>
              <w:wordWrap/>
              <w:overflowPunct/>
              <w:topLinePunct w:val="0"/>
              <w:autoSpaceDE w:val="0"/>
              <w:autoSpaceDN w:val="0"/>
              <w:bidi w:val="0"/>
              <w:adjustRightInd w:val="0"/>
              <w:snapToGrid w:val="0"/>
              <w:spacing w:before="210" w:line="227" w:lineRule="auto"/>
              <w:ind w:left="377"/>
              <w:textAlignment w:val="baseline"/>
              <w:rPr>
                <w:rFonts w:ascii="宋体" w:hAnsi="宋体" w:eastAsia="宋体" w:cs="宋体"/>
                <w:sz w:val="20"/>
                <w:szCs w:val="20"/>
              </w:rPr>
            </w:pPr>
            <w:r>
              <w:rPr>
                <w:rFonts w:ascii="宋体" w:hAnsi="宋体" w:eastAsia="宋体" w:cs="宋体"/>
                <w:spacing w:val="5"/>
                <w:sz w:val="20"/>
                <w:szCs w:val="20"/>
              </w:rPr>
              <w:t>文档版本</w:t>
            </w:r>
          </w:p>
        </w:tc>
        <w:tc>
          <w:tcPr>
            <w:tcW w:w="1695" w:type="dxa"/>
          </w:tcPr>
          <w:p w14:paraId="696C0E21">
            <w:pPr>
              <w:keepNext w:val="0"/>
              <w:keepLines w:val="0"/>
              <w:pageBreakBefore w:val="0"/>
              <w:widowControl w:val="0"/>
              <w:kinsoku w:val="0"/>
              <w:wordWrap/>
              <w:overflowPunct/>
              <w:topLinePunct w:val="0"/>
              <w:autoSpaceDE w:val="0"/>
              <w:autoSpaceDN w:val="0"/>
              <w:bidi w:val="0"/>
              <w:adjustRightInd w:val="0"/>
              <w:snapToGrid w:val="0"/>
              <w:spacing w:before="210" w:line="227" w:lineRule="auto"/>
              <w:ind w:left="439"/>
              <w:textAlignment w:val="baseline"/>
              <w:rPr>
                <w:rFonts w:ascii="宋体" w:hAnsi="宋体" w:eastAsia="宋体" w:cs="宋体"/>
                <w:sz w:val="20"/>
                <w:szCs w:val="20"/>
              </w:rPr>
            </w:pPr>
            <w:r>
              <w:rPr>
                <w:rFonts w:ascii="宋体" w:hAnsi="宋体" w:eastAsia="宋体" w:cs="宋体"/>
                <w:spacing w:val="5"/>
                <w:sz w:val="20"/>
                <w:szCs w:val="20"/>
              </w:rPr>
              <w:t>版本日期</w:t>
            </w:r>
          </w:p>
        </w:tc>
        <w:tc>
          <w:tcPr>
            <w:tcW w:w="2301" w:type="dxa"/>
          </w:tcPr>
          <w:p w14:paraId="13278977">
            <w:pPr>
              <w:keepNext w:val="0"/>
              <w:keepLines w:val="0"/>
              <w:pageBreakBefore w:val="0"/>
              <w:widowControl w:val="0"/>
              <w:kinsoku w:val="0"/>
              <w:wordWrap/>
              <w:overflowPunct/>
              <w:topLinePunct w:val="0"/>
              <w:autoSpaceDE w:val="0"/>
              <w:autoSpaceDN w:val="0"/>
              <w:bidi w:val="0"/>
              <w:adjustRightInd w:val="0"/>
              <w:snapToGrid w:val="0"/>
              <w:spacing w:before="210" w:line="227" w:lineRule="auto"/>
              <w:ind w:left="745"/>
              <w:textAlignment w:val="baseline"/>
              <w:rPr>
                <w:rFonts w:ascii="宋体" w:hAnsi="宋体" w:eastAsia="宋体" w:cs="宋体"/>
                <w:sz w:val="20"/>
                <w:szCs w:val="20"/>
              </w:rPr>
            </w:pPr>
            <w:r>
              <w:rPr>
                <w:rFonts w:ascii="宋体" w:hAnsi="宋体" w:eastAsia="宋体" w:cs="宋体"/>
                <w:spacing w:val="5"/>
                <w:sz w:val="20"/>
                <w:szCs w:val="20"/>
              </w:rPr>
              <w:t>版本说明</w:t>
            </w:r>
          </w:p>
        </w:tc>
        <w:tc>
          <w:tcPr>
            <w:tcW w:w="1556" w:type="dxa"/>
          </w:tcPr>
          <w:p w14:paraId="6065E7BD">
            <w:pPr>
              <w:keepNext w:val="0"/>
              <w:keepLines w:val="0"/>
              <w:pageBreakBefore w:val="0"/>
              <w:widowControl w:val="0"/>
              <w:kinsoku w:val="0"/>
              <w:wordWrap/>
              <w:overflowPunct/>
              <w:topLinePunct w:val="0"/>
              <w:autoSpaceDE w:val="0"/>
              <w:autoSpaceDN w:val="0"/>
              <w:bidi w:val="0"/>
              <w:adjustRightInd w:val="0"/>
              <w:snapToGrid w:val="0"/>
              <w:spacing w:before="213" w:line="228" w:lineRule="auto"/>
              <w:ind w:left="585"/>
              <w:textAlignment w:val="baseline"/>
              <w:rPr>
                <w:rFonts w:ascii="宋体" w:hAnsi="宋体" w:eastAsia="宋体" w:cs="宋体"/>
                <w:sz w:val="20"/>
                <w:szCs w:val="20"/>
              </w:rPr>
            </w:pPr>
            <w:r>
              <w:rPr>
                <w:rFonts w:ascii="宋体" w:hAnsi="宋体" w:eastAsia="宋体" w:cs="宋体"/>
                <w:spacing w:val="3"/>
                <w:sz w:val="20"/>
                <w:szCs w:val="20"/>
              </w:rPr>
              <w:t>作者</w:t>
            </w:r>
          </w:p>
        </w:tc>
        <w:tc>
          <w:tcPr>
            <w:tcW w:w="1956" w:type="dxa"/>
          </w:tcPr>
          <w:p w14:paraId="47A73B3A">
            <w:pPr>
              <w:keepNext w:val="0"/>
              <w:keepLines w:val="0"/>
              <w:pageBreakBefore w:val="0"/>
              <w:widowControl w:val="0"/>
              <w:kinsoku w:val="0"/>
              <w:wordWrap/>
              <w:overflowPunct/>
              <w:topLinePunct w:val="0"/>
              <w:autoSpaceDE w:val="0"/>
              <w:autoSpaceDN w:val="0"/>
              <w:bidi w:val="0"/>
              <w:adjustRightInd w:val="0"/>
              <w:snapToGrid w:val="0"/>
              <w:spacing w:before="213" w:line="228" w:lineRule="auto"/>
              <w:ind w:left="803"/>
              <w:textAlignment w:val="baseline"/>
              <w:rPr>
                <w:rFonts w:ascii="宋体" w:hAnsi="宋体" w:eastAsia="宋体" w:cs="宋体"/>
                <w:sz w:val="20"/>
                <w:szCs w:val="20"/>
              </w:rPr>
            </w:pPr>
            <w:r>
              <w:rPr>
                <w:rFonts w:ascii="宋体" w:hAnsi="宋体" w:eastAsia="宋体" w:cs="宋体"/>
                <w:spacing w:val="-3"/>
                <w:sz w:val="20"/>
                <w:szCs w:val="20"/>
              </w:rPr>
              <w:t>审核</w:t>
            </w:r>
          </w:p>
        </w:tc>
      </w:tr>
      <w:tr w14:paraId="3480845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9" w:hRule="atLeast"/>
        </w:trPr>
        <w:tc>
          <w:tcPr>
            <w:tcW w:w="1567" w:type="dxa"/>
          </w:tcPr>
          <w:p w14:paraId="3BE05FB1">
            <w:pPr>
              <w:keepNext w:val="0"/>
              <w:keepLines w:val="0"/>
              <w:pageBreakBefore w:val="0"/>
              <w:widowControl w:val="0"/>
              <w:kinsoku w:val="0"/>
              <w:wordWrap/>
              <w:overflowPunct/>
              <w:topLinePunct w:val="0"/>
              <w:autoSpaceDE w:val="0"/>
              <w:autoSpaceDN w:val="0"/>
              <w:bidi w:val="0"/>
              <w:adjustRightInd w:val="0"/>
              <w:snapToGrid w:val="0"/>
              <w:spacing w:before="194" w:line="268" w:lineRule="exact"/>
              <w:ind w:left="574"/>
              <w:textAlignment w:val="baseline"/>
              <w:rPr>
                <w:rFonts w:ascii="宋体" w:hAnsi="宋体" w:eastAsia="宋体" w:cs="宋体"/>
                <w:sz w:val="20"/>
                <w:szCs w:val="20"/>
              </w:rPr>
            </w:pPr>
            <w:r>
              <w:rPr>
                <w:rFonts w:ascii="宋体" w:hAnsi="宋体" w:eastAsia="宋体" w:cs="宋体"/>
                <w:spacing w:val="3"/>
                <w:position w:val="1"/>
                <w:sz w:val="20"/>
                <w:szCs w:val="20"/>
              </w:rPr>
              <w:t>V1.0</w:t>
            </w:r>
          </w:p>
        </w:tc>
        <w:tc>
          <w:tcPr>
            <w:tcW w:w="1695" w:type="dxa"/>
          </w:tcPr>
          <w:p w14:paraId="1937BD74">
            <w:pPr>
              <w:keepNext w:val="0"/>
              <w:keepLines w:val="0"/>
              <w:pageBreakBefore w:val="0"/>
              <w:widowControl w:val="0"/>
              <w:kinsoku w:val="0"/>
              <w:wordWrap/>
              <w:overflowPunct/>
              <w:topLinePunct w:val="0"/>
              <w:autoSpaceDE w:val="0"/>
              <w:autoSpaceDN w:val="0"/>
              <w:bidi w:val="0"/>
              <w:adjustRightInd w:val="0"/>
              <w:snapToGrid w:val="0"/>
              <w:spacing w:before="194" w:line="269" w:lineRule="exact"/>
              <w:ind w:left="443"/>
              <w:textAlignment w:val="baseline"/>
              <w:rPr>
                <w:rFonts w:ascii="宋体" w:hAnsi="宋体" w:eastAsia="宋体" w:cs="宋体"/>
                <w:sz w:val="20"/>
                <w:szCs w:val="20"/>
              </w:rPr>
            </w:pPr>
            <w:r>
              <w:rPr>
                <w:rFonts w:ascii="宋体" w:hAnsi="宋体" w:eastAsia="宋体" w:cs="宋体"/>
                <w:spacing w:val="2"/>
                <w:position w:val="1"/>
                <w:sz w:val="20"/>
                <w:szCs w:val="20"/>
              </w:rPr>
              <w:t>2025-4-4</w:t>
            </w:r>
          </w:p>
        </w:tc>
        <w:tc>
          <w:tcPr>
            <w:tcW w:w="2301" w:type="dxa"/>
          </w:tcPr>
          <w:p w14:paraId="523B0DA3">
            <w:pPr>
              <w:keepNext w:val="0"/>
              <w:keepLines w:val="0"/>
              <w:pageBreakBefore w:val="0"/>
              <w:widowControl w:val="0"/>
              <w:kinsoku w:val="0"/>
              <w:wordWrap/>
              <w:overflowPunct/>
              <w:topLinePunct w:val="0"/>
              <w:autoSpaceDE w:val="0"/>
              <w:autoSpaceDN w:val="0"/>
              <w:bidi w:val="0"/>
              <w:adjustRightInd w:val="0"/>
              <w:snapToGrid w:val="0"/>
              <w:spacing w:before="146" w:line="227" w:lineRule="auto"/>
              <w:ind w:left="750"/>
              <w:textAlignment w:val="baseline"/>
              <w:rPr>
                <w:rFonts w:ascii="宋体" w:hAnsi="宋体" w:eastAsia="宋体" w:cs="宋体"/>
                <w:sz w:val="20"/>
                <w:szCs w:val="20"/>
              </w:rPr>
            </w:pPr>
            <w:r>
              <w:rPr>
                <w:rFonts w:ascii="宋体" w:hAnsi="宋体" w:eastAsia="宋体" w:cs="宋体"/>
                <w:spacing w:val="4"/>
                <w:sz w:val="20"/>
                <w:szCs w:val="20"/>
              </w:rPr>
              <w:t>发布版本</w:t>
            </w:r>
          </w:p>
        </w:tc>
        <w:tc>
          <w:tcPr>
            <w:tcW w:w="1556" w:type="dxa"/>
          </w:tcPr>
          <w:p w14:paraId="34132410">
            <w:pPr>
              <w:keepNext w:val="0"/>
              <w:keepLines w:val="0"/>
              <w:pageBreakBefore w:val="0"/>
              <w:widowControl w:val="0"/>
              <w:kinsoku w:val="0"/>
              <w:wordWrap/>
              <w:overflowPunct/>
              <w:topLinePunct w:val="0"/>
              <w:autoSpaceDE w:val="0"/>
              <w:autoSpaceDN w:val="0"/>
              <w:bidi w:val="0"/>
              <w:adjustRightInd w:val="0"/>
              <w:snapToGrid w:val="0"/>
              <w:spacing w:before="149" w:line="228" w:lineRule="auto"/>
              <w:ind w:left="501"/>
              <w:textAlignment w:val="baseline"/>
              <w:rPr>
                <w:rFonts w:hint="eastAsia" w:ascii="宋体" w:hAnsi="宋体" w:eastAsia="宋体" w:cs="宋体"/>
                <w:sz w:val="20"/>
                <w:szCs w:val="20"/>
                <w:lang w:val="en-US" w:eastAsia="zh-CN"/>
              </w:rPr>
            </w:pPr>
            <w:r>
              <w:rPr>
                <w:rFonts w:hint="eastAsia" w:ascii="宋体" w:hAnsi="宋体" w:eastAsia="宋体" w:cs="宋体"/>
                <w:sz w:val="20"/>
                <w:szCs w:val="20"/>
                <w:lang w:val="en-US" w:eastAsia="zh-CN"/>
              </w:rPr>
              <w:t>肖龙莽</w:t>
            </w:r>
          </w:p>
        </w:tc>
        <w:tc>
          <w:tcPr>
            <w:tcW w:w="1956" w:type="dxa"/>
          </w:tcPr>
          <w:p w14:paraId="171EC624">
            <w:pPr>
              <w:keepNext w:val="0"/>
              <w:keepLines w:val="0"/>
              <w:pageBreakBefore w:val="0"/>
              <w:widowControl w:val="0"/>
              <w:kinsoku w:val="0"/>
              <w:wordWrap/>
              <w:overflowPunct/>
              <w:topLinePunct w:val="0"/>
              <w:autoSpaceDE w:val="0"/>
              <w:autoSpaceDN w:val="0"/>
              <w:bidi w:val="0"/>
              <w:adjustRightInd w:val="0"/>
              <w:snapToGrid w:val="0"/>
              <w:spacing w:before="146" w:line="228" w:lineRule="auto"/>
              <w:ind w:left="689"/>
              <w:textAlignment w:val="baseline"/>
              <w:rPr>
                <w:rFonts w:ascii="宋体" w:hAnsi="宋体" w:eastAsia="宋体" w:cs="宋体"/>
                <w:sz w:val="20"/>
                <w:szCs w:val="20"/>
              </w:rPr>
            </w:pPr>
            <w:r>
              <w:rPr>
                <w:rFonts w:ascii="宋体" w:hAnsi="宋体" w:eastAsia="宋体" w:cs="宋体"/>
                <w:spacing w:val="2"/>
                <w:sz w:val="20"/>
                <w:szCs w:val="20"/>
              </w:rPr>
              <w:t>吴向阳</w:t>
            </w:r>
          </w:p>
        </w:tc>
      </w:tr>
      <w:tr w14:paraId="5E4880B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8" w:hRule="atLeast"/>
        </w:trPr>
        <w:tc>
          <w:tcPr>
            <w:tcW w:w="1567" w:type="dxa"/>
          </w:tcPr>
          <w:p w14:paraId="5F7AE13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5" w:type="dxa"/>
          </w:tcPr>
          <w:p w14:paraId="75BAAAF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1" w:type="dxa"/>
          </w:tcPr>
          <w:p w14:paraId="13A70A3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6" w:type="dxa"/>
          </w:tcPr>
          <w:p w14:paraId="41ACCDD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6" w:type="dxa"/>
          </w:tcPr>
          <w:p w14:paraId="1057094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5593DE2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9" w:hRule="atLeast"/>
        </w:trPr>
        <w:tc>
          <w:tcPr>
            <w:tcW w:w="1567" w:type="dxa"/>
          </w:tcPr>
          <w:p w14:paraId="1BC49B3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5" w:type="dxa"/>
          </w:tcPr>
          <w:p w14:paraId="1E2D21A9">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1" w:type="dxa"/>
          </w:tcPr>
          <w:p w14:paraId="53C0B200">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6" w:type="dxa"/>
          </w:tcPr>
          <w:p w14:paraId="1610414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6" w:type="dxa"/>
          </w:tcPr>
          <w:p w14:paraId="402A0B2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44DBFCD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479" w:hRule="atLeast"/>
        </w:trPr>
        <w:tc>
          <w:tcPr>
            <w:tcW w:w="1567" w:type="dxa"/>
          </w:tcPr>
          <w:p w14:paraId="32CBF107">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5" w:type="dxa"/>
          </w:tcPr>
          <w:p w14:paraId="4CEAECD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1" w:type="dxa"/>
          </w:tcPr>
          <w:p w14:paraId="6A2BC62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6" w:type="dxa"/>
          </w:tcPr>
          <w:p w14:paraId="4FECAECA">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6" w:type="dxa"/>
          </w:tcPr>
          <w:p w14:paraId="4552139E">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C6DC02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32" w:hRule="atLeast"/>
        </w:trPr>
        <w:tc>
          <w:tcPr>
            <w:tcW w:w="1567" w:type="dxa"/>
          </w:tcPr>
          <w:p w14:paraId="1ABE945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5" w:type="dxa"/>
          </w:tcPr>
          <w:p w14:paraId="1B07E33F">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1" w:type="dxa"/>
          </w:tcPr>
          <w:p w14:paraId="3D171B5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6" w:type="dxa"/>
          </w:tcPr>
          <w:p w14:paraId="3DE878F6">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6" w:type="dxa"/>
          </w:tcPr>
          <w:p w14:paraId="231CD531">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r w14:paraId="6CEF776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8" w:hRule="atLeast"/>
        </w:trPr>
        <w:tc>
          <w:tcPr>
            <w:tcW w:w="1567" w:type="dxa"/>
          </w:tcPr>
          <w:p w14:paraId="5B5BD923">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695" w:type="dxa"/>
          </w:tcPr>
          <w:p w14:paraId="2F9C1E8D">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2301" w:type="dxa"/>
          </w:tcPr>
          <w:p w14:paraId="1FCA0185">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556" w:type="dxa"/>
          </w:tcPr>
          <w:p w14:paraId="047C87F4">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c>
          <w:tcPr>
            <w:tcW w:w="1956" w:type="dxa"/>
          </w:tcPr>
          <w:p w14:paraId="285D736C">
            <w:pPr>
              <w:pStyle w:val="25"/>
              <w:keepNext w:val="0"/>
              <w:keepLines w:val="0"/>
              <w:pageBreakBefore w:val="0"/>
              <w:widowControl w:val="0"/>
              <w:kinsoku w:val="0"/>
              <w:wordWrap/>
              <w:overflowPunct/>
              <w:topLinePunct w:val="0"/>
              <w:autoSpaceDE w:val="0"/>
              <w:autoSpaceDN w:val="0"/>
              <w:bidi w:val="0"/>
              <w:adjustRightInd w:val="0"/>
              <w:snapToGrid w:val="0"/>
              <w:textAlignment w:val="baseline"/>
            </w:pPr>
          </w:p>
        </w:tc>
      </w:tr>
    </w:tbl>
    <w:p w14:paraId="744E2BEF">
      <w:pPr>
        <w:pStyle w:val="12"/>
        <w:keepNext w:val="0"/>
        <w:keepLines w:val="0"/>
        <w:pageBreakBefore w:val="0"/>
        <w:widowControl w:val="0"/>
        <w:kinsoku w:val="0"/>
        <w:wordWrap/>
        <w:overflowPunct/>
        <w:topLinePunct w:val="0"/>
        <w:autoSpaceDE w:val="0"/>
        <w:autoSpaceDN w:val="0"/>
        <w:bidi w:val="0"/>
        <w:adjustRightInd w:val="0"/>
        <w:snapToGrid w:val="0"/>
        <w:textAlignment w:val="baseline"/>
      </w:pPr>
    </w:p>
    <w:p w14:paraId="39BD0075">
      <w:pPr>
        <w:keepNext w:val="0"/>
        <w:keepLines w:val="0"/>
        <w:pageBreakBefore w:val="0"/>
        <w:widowControl w:val="0"/>
        <w:kinsoku w:val="0"/>
        <w:wordWrap/>
        <w:overflowPunct/>
        <w:topLinePunct w:val="0"/>
        <w:autoSpaceDE w:val="0"/>
        <w:autoSpaceDN w:val="0"/>
        <w:bidi w:val="0"/>
        <w:adjustRightInd w:val="0"/>
        <w:snapToGrid w:val="0"/>
        <w:textAlignment w:val="baseline"/>
        <w:sectPr>
          <w:footerReference r:id="rId5" w:type="default"/>
          <w:pgSz w:w="11906" w:h="16840"/>
          <w:pgMar w:top="1431" w:right="1117" w:bottom="1144" w:left="1708" w:header="0" w:footer="978" w:gutter="0"/>
          <w:cols w:space="720" w:num="1"/>
        </w:sectPr>
      </w:pPr>
    </w:p>
    <w:sdt>
      <w:sdtPr>
        <w:rPr>
          <w:rFonts w:ascii="宋体" w:hAnsi="宋体" w:eastAsia="宋体" w:cs="Arial"/>
          <w:snapToGrid w:val="0"/>
          <w:color w:val="000000"/>
          <w:kern w:val="0"/>
          <w:sz w:val="21"/>
          <w:szCs w:val="21"/>
          <w:lang w:val="en-US" w:eastAsia="en-US" w:bidi="ar-SA"/>
        </w:rPr>
        <w:id w:val="147458789"/>
        <w:docPartObj>
          <w:docPartGallery w:val="Table of Contents"/>
          <w:docPartUnique/>
        </w:docPartObj>
      </w:sdtPr>
      <w:sdtEndPr>
        <w:rPr>
          <w:rFonts w:ascii="Calibri" w:hAnsi="Calibri" w:eastAsia="Calibri" w:cs="Calibri"/>
          <w:snapToGrid w:val="0"/>
          <w:color w:val="000000"/>
          <w:kern w:val="0"/>
          <w:sz w:val="21"/>
          <w:szCs w:val="19"/>
          <w:lang w:val="en-US" w:eastAsia="en-US" w:bidi="ar-SA"/>
        </w:rPr>
      </w:sdtEndPr>
      <w:sdtContent>
        <w:p w14:paraId="6242CF20">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4EE25D64">
          <w:pPr>
            <w:pStyle w:val="16"/>
            <w:tabs>
              <w:tab w:val="right" w:leader="dot" w:pos="8476"/>
            </w:tabs>
          </w:pPr>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_Toc11345 </w:instrText>
          </w:r>
          <w:r>
            <w:rPr>
              <w:rFonts w:hint="eastAsia" w:ascii="Microsoft JhengHei" w:hAnsi="Microsoft JhengHei" w:eastAsia="Microsoft JhengHei" w:cs="Microsoft JhengHei"/>
              <w:szCs w:val="24"/>
            </w:rPr>
            <w:fldChar w:fldCharType="separate"/>
          </w:r>
          <w:r>
            <w:t>运维服务目录管理规范</w:t>
          </w:r>
          <w:r>
            <w:tab/>
          </w:r>
          <w:r>
            <w:fldChar w:fldCharType="begin"/>
          </w:r>
          <w:r>
            <w:instrText xml:space="preserve"> PAGEREF _Toc11345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0A6C04C8">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_Toc15381 </w:instrText>
          </w:r>
          <w:r>
            <w:rPr>
              <w:rFonts w:hint="eastAsia" w:ascii="Microsoft JhengHei" w:hAnsi="Microsoft JhengHei" w:eastAsia="Microsoft JhengHei" w:cs="Microsoft JhengHei"/>
              <w:szCs w:val="24"/>
            </w:rPr>
            <w:fldChar w:fldCharType="separate"/>
          </w:r>
          <w:r>
            <w:t>中达丰集团有限公司</w:t>
          </w:r>
          <w:r>
            <w:tab/>
          </w:r>
          <w:r>
            <w:fldChar w:fldCharType="begin"/>
          </w:r>
          <w:r>
            <w:instrText xml:space="preserve"> PAGEREF _Toc15381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790A549D">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_Toc2853 </w:instrText>
          </w:r>
          <w:r>
            <w:rPr>
              <w:rFonts w:hint="eastAsia" w:ascii="Microsoft JhengHei" w:hAnsi="Microsoft JhengHei" w:eastAsia="Microsoft JhengHei" w:cs="Microsoft JhengHei"/>
              <w:szCs w:val="24"/>
            </w:rPr>
            <w:fldChar w:fldCharType="separate"/>
          </w:r>
          <w:r>
            <w:rPr>
              <w:rFonts w:ascii="宋体" w:hAnsi="宋体" w:eastAsia="宋体" w:cs="宋体"/>
              <w:spacing w:val="-5"/>
              <w:szCs w:val="28"/>
            </w:rPr>
            <w:t>文档信息</w:t>
          </w:r>
          <w:r>
            <w:tab/>
          </w:r>
          <w:r>
            <w:fldChar w:fldCharType="begin"/>
          </w:r>
          <w:r>
            <w:instrText xml:space="preserve"> PAGEREF _Toc2853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0B592887">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_Toc16206 </w:instrText>
          </w:r>
          <w:r>
            <w:rPr>
              <w:rFonts w:hint="eastAsia" w:ascii="Microsoft JhengHei" w:hAnsi="Microsoft JhengHei" w:eastAsia="Microsoft JhengHei" w:cs="Microsoft JhengHei"/>
              <w:szCs w:val="24"/>
            </w:rPr>
            <w:fldChar w:fldCharType="separate"/>
          </w:r>
          <w:r>
            <w:rPr>
              <w:rFonts w:hint="default"/>
            </w:rPr>
            <w:t xml:space="preserve">1. </w:t>
          </w:r>
          <w:r>
            <w:t>目的</w:t>
          </w:r>
          <w:r>
            <w:tab/>
          </w:r>
          <w:r>
            <w:fldChar w:fldCharType="begin"/>
          </w:r>
          <w:r>
            <w:instrText xml:space="preserve"> PAGEREF _Toc16206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2C5665A2">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_Toc10612 </w:instrText>
          </w:r>
          <w:r>
            <w:rPr>
              <w:rFonts w:hint="eastAsia" w:ascii="Microsoft JhengHei" w:hAnsi="Microsoft JhengHei" w:eastAsia="Microsoft JhengHei" w:cs="Microsoft JhengHei"/>
              <w:szCs w:val="24"/>
            </w:rPr>
            <w:fldChar w:fldCharType="separate"/>
          </w:r>
          <w:r>
            <w:rPr>
              <w:rFonts w:hint="default"/>
            </w:rPr>
            <w:t xml:space="preserve">2. </w:t>
          </w:r>
          <w:r>
            <w:t>范围</w:t>
          </w:r>
          <w:r>
            <w:tab/>
          </w:r>
          <w:r>
            <w:fldChar w:fldCharType="begin"/>
          </w:r>
          <w:r>
            <w:instrText xml:space="preserve"> PAGEREF _Toc10612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5198EDF1">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_Toc22291 </w:instrText>
          </w:r>
          <w:r>
            <w:rPr>
              <w:rFonts w:hint="eastAsia" w:ascii="Microsoft JhengHei" w:hAnsi="Microsoft JhengHei" w:eastAsia="Microsoft JhengHei" w:cs="Microsoft JhengHei"/>
              <w:szCs w:val="24"/>
            </w:rPr>
            <w:fldChar w:fldCharType="separate"/>
          </w:r>
          <w:r>
            <w:rPr>
              <w:rFonts w:hint="default"/>
            </w:rPr>
            <w:t xml:space="preserve">3. </w:t>
          </w:r>
          <w:r>
            <w:t>定义</w:t>
          </w:r>
          <w:r>
            <w:tab/>
          </w:r>
          <w:r>
            <w:fldChar w:fldCharType="begin"/>
          </w:r>
          <w:r>
            <w:instrText xml:space="preserve"> PAGEREF _Toc22291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1AC61508">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_Toc18991 </w:instrText>
          </w:r>
          <w:r>
            <w:rPr>
              <w:rFonts w:hint="eastAsia" w:ascii="Microsoft JhengHei" w:hAnsi="Microsoft JhengHei" w:eastAsia="Microsoft JhengHei" w:cs="Microsoft JhengHei"/>
              <w:szCs w:val="24"/>
            </w:rPr>
            <w:fldChar w:fldCharType="separate"/>
          </w:r>
          <w:r>
            <w:rPr>
              <w:rFonts w:hint="default"/>
            </w:rPr>
            <w:t xml:space="preserve">4. </w:t>
          </w:r>
          <w:r>
            <w:t>输入与输出</w:t>
          </w:r>
          <w:r>
            <w:tab/>
          </w:r>
          <w:r>
            <w:fldChar w:fldCharType="begin"/>
          </w:r>
          <w:r>
            <w:instrText xml:space="preserve"> PAGEREF _Toc18991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40F44D2C">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_Toc31840 </w:instrText>
          </w:r>
          <w:r>
            <w:rPr>
              <w:rFonts w:hint="eastAsia" w:ascii="Microsoft JhengHei" w:hAnsi="Microsoft JhengHei" w:eastAsia="Microsoft JhengHei" w:cs="Microsoft JhengHei"/>
              <w:szCs w:val="24"/>
            </w:rPr>
            <w:fldChar w:fldCharType="separate"/>
          </w:r>
          <w:r>
            <w:rPr>
              <w:rFonts w:hint="default"/>
            </w:rPr>
            <w:t xml:space="preserve">4.1. </w:t>
          </w:r>
          <w:r>
            <w:t>主要输入</w:t>
          </w:r>
          <w:r>
            <w:tab/>
          </w:r>
          <w:r>
            <w:fldChar w:fldCharType="begin"/>
          </w:r>
          <w:r>
            <w:instrText xml:space="preserve"> PAGEREF _Toc31840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020E6CE7">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_Toc1263 </w:instrText>
          </w:r>
          <w:r>
            <w:rPr>
              <w:rFonts w:hint="eastAsia" w:ascii="Microsoft JhengHei" w:hAnsi="Microsoft JhengHei" w:eastAsia="Microsoft JhengHei" w:cs="Microsoft JhengHei"/>
              <w:szCs w:val="24"/>
            </w:rPr>
            <w:fldChar w:fldCharType="separate"/>
          </w:r>
          <w:r>
            <w:rPr>
              <w:rFonts w:hint="default"/>
            </w:rPr>
            <w:t xml:space="preserve">4.2. </w:t>
          </w:r>
          <w:r>
            <w:t>主要输出</w:t>
          </w:r>
          <w:r>
            <w:tab/>
          </w:r>
          <w:r>
            <w:fldChar w:fldCharType="begin"/>
          </w:r>
          <w:r>
            <w:instrText xml:space="preserve"> PAGEREF _Toc1263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0414321D">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_Toc2252 </w:instrText>
          </w:r>
          <w:r>
            <w:rPr>
              <w:rFonts w:hint="eastAsia" w:ascii="Microsoft JhengHei" w:hAnsi="Microsoft JhengHei" w:eastAsia="Microsoft JhengHei" w:cs="Microsoft JhengHei"/>
              <w:szCs w:val="24"/>
            </w:rPr>
            <w:fldChar w:fldCharType="separate"/>
          </w:r>
          <w:r>
            <w:rPr>
              <w:rFonts w:hint="default"/>
            </w:rPr>
            <w:t xml:space="preserve">5. </w:t>
          </w:r>
          <w:r>
            <w:t>职责权限</w:t>
          </w:r>
          <w:r>
            <w:tab/>
          </w:r>
          <w:r>
            <w:fldChar w:fldCharType="begin"/>
          </w:r>
          <w:r>
            <w:instrText xml:space="preserve"> PAGEREF _Toc2252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12FAA970">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_Toc29638 </w:instrText>
          </w:r>
          <w:r>
            <w:rPr>
              <w:rFonts w:hint="eastAsia" w:ascii="Microsoft JhengHei" w:hAnsi="Microsoft JhengHei" w:eastAsia="Microsoft JhengHei" w:cs="Microsoft JhengHei"/>
              <w:szCs w:val="24"/>
            </w:rPr>
            <w:fldChar w:fldCharType="separate"/>
          </w:r>
          <w:r>
            <w:rPr>
              <w:rFonts w:hint="default"/>
            </w:rPr>
            <w:t xml:space="preserve">6. </w:t>
          </w:r>
          <w:r>
            <w:t>服务目录管理机制</w:t>
          </w:r>
          <w:r>
            <w:tab/>
          </w:r>
          <w:r>
            <w:fldChar w:fldCharType="begin"/>
          </w:r>
          <w:r>
            <w:instrText xml:space="preserve"> PAGEREF _Toc29638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2468A97B">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_Toc8595 </w:instrText>
          </w:r>
          <w:r>
            <w:rPr>
              <w:rFonts w:hint="eastAsia" w:ascii="Microsoft JhengHei" w:hAnsi="Microsoft JhengHei" w:eastAsia="Microsoft JhengHei" w:cs="Microsoft JhengHei"/>
              <w:szCs w:val="24"/>
            </w:rPr>
            <w:fldChar w:fldCharType="separate"/>
          </w:r>
          <w:r>
            <w:rPr>
              <w:rFonts w:hint="default"/>
            </w:rPr>
            <w:t xml:space="preserve">6.1. </w:t>
          </w:r>
          <w:r>
            <w:t>服务目录内容</w:t>
          </w:r>
          <w:r>
            <w:tab/>
          </w:r>
          <w:r>
            <w:fldChar w:fldCharType="begin"/>
          </w:r>
          <w:r>
            <w:instrText xml:space="preserve"> PAGEREF _Toc8595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25ACFA9F">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_Toc5292 </w:instrText>
          </w:r>
          <w:r>
            <w:rPr>
              <w:rFonts w:hint="eastAsia" w:ascii="Microsoft JhengHei" w:hAnsi="Microsoft JhengHei" w:eastAsia="Microsoft JhengHei" w:cs="Microsoft JhengHei"/>
              <w:szCs w:val="24"/>
            </w:rPr>
            <w:fldChar w:fldCharType="separate"/>
          </w:r>
          <w:r>
            <w:rPr>
              <w:rFonts w:hint="default"/>
            </w:rPr>
            <w:t xml:space="preserve">6.2. </w:t>
          </w:r>
          <w:r>
            <w:t>受众和目标</w:t>
          </w:r>
          <w:r>
            <w:tab/>
          </w:r>
          <w:r>
            <w:fldChar w:fldCharType="begin"/>
          </w:r>
          <w:r>
            <w:instrText xml:space="preserve"> PAGEREF _Toc5292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41FBB1B6">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_Toc11216 </w:instrText>
          </w:r>
          <w:r>
            <w:rPr>
              <w:rFonts w:hint="eastAsia" w:ascii="Microsoft JhengHei" w:hAnsi="Microsoft JhengHei" w:eastAsia="Microsoft JhengHei" w:cs="Microsoft JhengHei"/>
              <w:szCs w:val="24"/>
            </w:rPr>
            <w:fldChar w:fldCharType="separate"/>
          </w:r>
          <w:r>
            <w:rPr>
              <w:rFonts w:hint="default"/>
            </w:rPr>
            <w:t xml:space="preserve">6.3. </w:t>
          </w:r>
          <w:r>
            <w:t>基本要求</w:t>
          </w:r>
          <w:r>
            <w:tab/>
          </w:r>
          <w:r>
            <w:fldChar w:fldCharType="begin"/>
          </w:r>
          <w:r>
            <w:instrText xml:space="preserve"> PAGEREF _Toc11216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6722E9D8">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_Toc9036 </w:instrText>
          </w:r>
          <w:r>
            <w:rPr>
              <w:rFonts w:hint="eastAsia" w:ascii="Microsoft JhengHei" w:hAnsi="Microsoft JhengHei" w:eastAsia="Microsoft JhengHei" w:cs="Microsoft JhengHei"/>
              <w:szCs w:val="24"/>
            </w:rPr>
            <w:fldChar w:fldCharType="separate"/>
          </w:r>
          <w:r>
            <w:rPr>
              <w:rFonts w:hint="default"/>
            </w:rPr>
            <w:t xml:space="preserve">6.4. </w:t>
          </w:r>
          <w:r>
            <w:t>内容形式</w:t>
          </w:r>
          <w:r>
            <w:tab/>
          </w:r>
          <w:r>
            <w:fldChar w:fldCharType="begin"/>
          </w:r>
          <w:r>
            <w:instrText xml:space="preserve"> PAGEREF _Toc9036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187DFF64">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_Toc7059 </w:instrText>
          </w:r>
          <w:r>
            <w:rPr>
              <w:rFonts w:hint="eastAsia" w:ascii="Microsoft JhengHei" w:hAnsi="Microsoft JhengHei" w:eastAsia="Microsoft JhengHei" w:cs="Microsoft JhengHei"/>
              <w:szCs w:val="24"/>
            </w:rPr>
            <w:fldChar w:fldCharType="separate"/>
          </w:r>
          <w:r>
            <w:rPr>
              <w:rFonts w:hint="default"/>
            </w:rPr>
            <w:t xml:space="preserve">6.5. </w:t>
          </w:r>
          <w:r>
            <w:rPr>
              <w:rFonts w:hint="eastAsia"/>
              <w:lang w:val="en-US" w:eastAsia="zh-CN"/>
            </w:rPr>
            <w:t>服务目录需求定义</w:t>
          </w:r>
          <w:r>
            <w:tab/>
          </w:r>
          <w:r>
            <w:fldChar w:fldCharType="begin"/>
          </w:r>
          <w:r>
            <w:instrText xml:space="preserve"> PAGEREF _Toc7059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3A4968A9">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_Toc5689 </w:instrText>
          </w:r>
          <w:r>
            <w:rPr>
              <w:rFonts w:hint="eastAsia" w:ascii="Microsoft JhengHei" w:hAnsi="Microsoft JhengHei" w:eastAsia="Microsoft JhengHei" w:cs="Microsoft JhengHei"/>
              <w:szCs w:val="24"/>
            </w:rPr>
            <w:fldChar w:fldCharType="separate"/>
          </w:r>
          <w:r>
            <w:rPr>
              <w:rFonts w:hint="default"/>
              <w:lang w:val="en-US" w:eastAsia="zh-CN"/>
            </w:rPr>
            <w:t xml:space="preserve">6.6. </w:t>
          </w:r>
          <w:r>
            <w:rPr>
              <w:rFonts w:hint="eastAsia"/>
              <w:lang w:val="en-US" w:eastAsia="zh-CN"/>
            </w:rPr>
            <w:t>服务目录管理与分发</w:t>
          </w:r>
          <w:r>
            <w:tab/>
          </w:r>
          <w:r>
            <w:fldChar w:fldCharType="begin"/>
          </w:r>
          <w:r>
            <w:instrText xml:space="preserve"> PAGEREF _Toc5689 \h </w:instrText>
          </w:r>
          <w:r>
            <w:fldChar w:fldCharType="separate"/>
          </w:r>
          <w:r>
            <w:t>6</w:t>
          </w:r>
          <w:r>
            <w:fldChar w:fldCharType="end"/>
          </w:r>
          <w:r>
            <w:rPr>
              <w:rFonts w:hint="eastAsia" w:ascii="Microsoft JhengHei" w:hAnsi="Microsoft JhengHei" w:eastAsia="Microsoft JhengHei" w:cs="Microsoft JhengHei"/>
              <w:szCs w:val="24"/>
            </w:rPr>
            <w:fldChar w:fldCharType="end"/>
          </w:r>
        </w:p>
        <w:p w14:paraId="0717825D">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_Toc15558 </w:instrText>
          </w:r>
          <w:r>
            <w:rPr>
              <w:rFonts w:hint="eastAsia" w:ascii="Microsoft JhengHei" w:hAnsi="Microsoft JhengHei" w:eastAsia="Microsoft JhengHei" w:cs="Microsoft JhengHei"/>
              <w:szCs w:val="24"/>
            </w:rPr>
            <w:fldChar w:fldCharType="separate"/>
          </w:r>
          <w:r>
            <w:rPr>
              <w:rFonts w:hint="default"/>
              <w:lang w:val="en-US" w:eastAsia="zh-CN"/>
            </w:rPr>
            <w:t xml:space="preserve">6.7. </w:t>
          </w:r>
          <w:r>
            <w:rPr>
              <w:rFonts w:hint="eastAsia"/>
              <w:lang w:val="en-US" w:eastAsia="zh-CN"/>
            </w:rPr>
            <w:t>服务目录定期回顾与有效性保障</w:t>
          </w:r>
          <w:r>
            <w:tab/>
          </w:r>
          <w:r>
            <w:fldChar w:fldCharType="begin"/>
          </w:r>
          <w:r>
            <w:instrText xml:space="preserve"> PAGEREF _Toc15558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35EFAB4C">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_Toc726 </w:instrText>
          </w:r>
          <w:r>
            <w:rPr>
              <w:rFonts w:hint="eastAsia" w:ascii="Microsoft JhengHei" w:hAnsi="Microsoft JhengHei" w:eastAsia="Microsoft JhengHei" w:cs="Microsoft JhengHei"/>
              <w:szCs w:val="24"/>
            </w:rPr>
            <w:fldChar w:fldCharType="separate"/>
          </w:r>
          <w:r>
            <w:rPr>
              <w:rFonts w:hint="default"/>
            </w:rPr>
            <w:t xml:space="preserve">7. </w:t>
          </w:r>
          <w:r>
            <w:t>服务目录管理流程</w:t>
          </w:r>
          <w:r>
            <w:tab/>
          </w:r>
          <w:r>
            <w:fldChar w:fldCharType="begin"/>
          </w:r>
          <w:r>
            <w:instrText xml:space="preserve"> PAGEREF _Toc726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52A251E7">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_Toc19438 </w:instrText>
          </w:r>
          <w:r>
            <w:rPr>
              <w:rFonts w:hint="eastAsia" w:ascii="Microsoft JhengHei" w:hAnsi="Microsoft JhengHei" w:eastAsia="Microsoft JhengHei" w:cs="Microsoft JhengHei"/>
              <w:szCs w:val="24"/>
            </w:rPr>
            <w:fldChar w:fldCharType="separate"/>
          </w:r>
          <w:r>
            <w:rPr>
              <w:rFonts w:hint="default"/>
            </w:rPr>
            <w:t xml:space="preserve">7.1. </w:t>
          </w:r>
          <w:r>
            <w:t>管理流程图</w:t>
          </w:r>
          <w:r>
            <w:tab/>
          </w:r>
          <w:r>
            <w:fldChar w:fldCharType="begin"/>
          </w:r>
          <w:r>
            <w:instrText xml:space="preserve"> PAGEREF _Toc19438 \h </w:instrText>
          </w:r>
          <w:r>
            <w:fldChar w:fldCharType="separate"/>
          </w:r>
          <w:r>
            <w:t>7</w:t>
          </w:r>
          <w:r>
            <w:fldChar w:fldCharType="end"/>
          </w:r>
          <w:r>
            <w:rPr>
              <w:rFonts w:hint="eastAsia" w:ascii="Microsoft JhengHei" w:hAnsi="Microsoft JhengHei" w:eastAsia="Microsoft JhengHei" w:cs="Microsoft JhengHei"/>
              <w:szCs w:val="24"/>
            </w:rPr>
            <w:fldChar w:fldCharType="end"/>
          </w:r>
        </w:p>
        <w:p w14:paraId="3C37E3D5">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_Toc1400 </w:instrText>
          </w:r>
          <w:r>
            <w:rPr>
              <w:rFonts w:hint="eastAsia" w:ascii="Microsoft JhengHei" w:hAnsi="Microsoft JhengHei" w:eastAsia="Microsoft JhengHei" w:cs="Microsoft JhengHei"/>
              <w:szCs w:val="24"/>
            </w:rPr>
            <w:fldChar w:fldCharType="separate"/>
          </w:r>
          <w:r>
            <w:rPr>
              <w:rFonts w:hint="default"/>
            </w:rPr>
            <w:t xml:space="preserve">7.2. </w:t>
          </w:r>
          <w:r>
            <w:t>过程描述</w:t>
          </w:r>
          <w:r>
            <w:tab/>
          </w:r>
          <w:r>
            <w:fldChar w:fldCharType="begin"/>
          </w:r>
          <w:r>
            <w:instrText xml:space="preserve"> PAGEREF _Toc1400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60ED5EDE">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_Toc9813 </w:instrText>
          </w:r>
          <w:r>
            <w:rPr>
              <w:rFonts w:hint="eastAsia" w:ascii="Microsoft JhengHei" w:hAnsi="Microsoft JhengHei" w:eastAsia="Microsoft JhengHei" w:cs="Microsoft JhengHei"/>
              <w:szCs w:val="24"/>
            </w:rPr>
            <w:fldChar w:fldCharType="separate"/>
          </w:r>
          <w:r>
            <w:rPr>
              <w:rFonts w:hint="default"/>
            </w:rPr>
            <w:t xml:space="preserve">8. </w:t>
          </w:r>
          <w:r>
            <w:t>服务目录价值</w:t>
          </w:r>
          <w:r>
            <w:tab/>
          </w:r>
          <w:r>
            <w:fldChar w:fldCharType="begin"/>
          </w:r>
          <w:r>
            <w:instrText xml:space="preserve"> PAGEREF _Toc9813 \h </w:instrText>
          </w:r>
          <w:r>
            <w:fldChar w:fldCharType="separate"/>
          </w:r>
          <w:r>
            <w:t>8</w:t>
          </w:r>
          <w:r>
            <w:fldChar w:fldCharType="end"/>
          </w:r>
          <w:r>
            <w:rPr>
              <w:rFonts w:hint="eastAsia" w:ascii="Microsoft JhengHei" w:hAnsi="Microsoft JhengHei" w:eastAsia="Microsoft JhengHei" w:cs="Microsoft JhengHei"/>
              <w:szCs w:val="24"/>
            </w:rPr>
            <w:fldChar w:fldCharType="end"/>
          </w:r>
        </w:p>
        <w:p w14:paraId="60B19F3B">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_Toc30595 </w:instrText>
          </w:r>
          <w:r>
            <w:rPr>
              <w:rFonts w:hint="eastAsia" w:ascii="Microsoft JhengHei" w:hAnsi="Microsoft JhengHei" w:eastAsia="Microsoft JhengHei" w:cs="Microsoft JhengHei"/>
              <w:szCs w:val="24"/>
            </w:rPr>
            <w:fldChar w:fldCharType="separate"/>
          </w:r>
          <w:r>
            <w:rPr>
              <w:rFonts w:hint="default"/>
            </w:rPr>
            <w:t xml:space="preserve">9. </w:t>
          </w:r>
          <w:r>
            <w:t>与其他过程的关系</w:t>
          </w:r>
          <w:r>
            <w:tab/>
          </w:r>
          <w:r>
            <w:fldChar w:fldCharType="begin"/>
          </w:r>
          <w:r>
            <w:instrText xml:space="preserve"> PAGEREF _Toc30595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11E6F7B5">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_Toc21531 </w:instrText>
          </w:r>
          <w:r>
            <w:rPr>
              <w:rFonts w:hint="eastAsia" w:ascii="Microsoft JhengHei" w:hAnsi="Microsoft JhengHei" w:eastAsia="Microsoft JhengHei" w:cs="Microsoft JhengHei"/>
              <w:szCs w:val="24"/>
            </w:rPr>
            <w:fldChar w:fldCharType="separate"/>
          </w:r>
          <w:r>
            <w:rPr>
              <w:rFonts w:hint="default"/>
            </w:rPr>
            <w:t xml:space="preserve">9.1. </w:t>
          </w:r>
          <w:r>
            <w:t>与服务级别管理过程的关系</w:t>
          </w:r>
          <w:r>
            <w:tab/>
          </w:r>
          <w:r>
            <w:fldChar w:fldCharType="begin"/>
          </w:r>
          <w:r>
            <w:instrText xml:space="preserve"> PAGEREF _Toc21531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02828C5B">
          <w:pPr>
            <w:pStyle w:val="17"/>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_Toc19352 </w:instrText>
          </w:r>
          <w:r>
            <w:rPr>
              <w:rFonts w:hint="eastAsia" w:ascii="Microsoft JhengHei" w:hAnsi="Microsoft JhengHei" w:eastAsia="Microsoft JhengHei" w:cs="Microsoft JhengHei"/>
              <w:szCs w:val="24"/>
            </w:rPr>
            <w:fldChar w:fldCharType="separate"/>
          </w:r>
          <w:r>
            <w:rPr>
              <w:rFonts w:hint="default"/>
            </w:rPr>
            <w:t xml:space="preserve">9.2. </w:t>
          </w:r>
          <w:r>
            <w:t>与变更与发布管理过程的关系</w:t>
          </w:r>
          <w:r>
            <w:tab/>
          </w:r>
          <w:r>
            <w:fldChar w:fldCharType="begin"/>
          </w:r>
          <w:r>
            <w:instrText xml:space="preserve"> PAGEREF _Toc19352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7BBDAC84">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_Toc1092 </w:instrText>
          </w:r>
          <w:r>
            <w:rPr>
              <w:rFonts w:hint="eastAsia" w:ascii="Microsoft JhengHei" w:hAnsi="Microsoft JhengHei" w:eastAsia="Microsoft JhengHei" w:cs="Microsoft JhengHei"/>
              <w:szCs w:val="24"/>
            </w:rPr>
            <w:fldChar w:fldCharType="separate"/>
          </w:r>
          <w:r>
            <w:rPr>
              <w:rFonts w:hint="default"/>
            </w:rPr>
            <w:t xml:space="preserve">10. </w:t>
          </w:r>
          <w:r>
            <w:t>服务目录管理过程持续改进</w:t>
          </w:r>
          <w:r>
            <w:tab/>
          </w:r>
          <w:r>
            <w:fldChar w:fldCharType="begin"/>
          </w:r>
          <w:r>
            <w:instrText xml:space="preserve"> PAGEREF _Toc1092 \h </w:instrText>
          </w:r>
          <w:r>
            <w:fldChar w:fldCharType="separate"/>
          </w:r>
          <w:r>
            <w:t>9</w:t>
          </w:r>
          <w:r>
            <w:fldChar w:fldCharType="end"/>
          </w:r>
          <w:r>
            <w:rPr>
              <w:rFonts w:hint="eastAsia" w:ascii="Microsoft JhengHei" w:hAnsi="Microsoft JhengHei" w:eastAsia="Microsoft JhengHei" w:cs="Microsoft JhengHei"/>
              <w:szCs w:val="24"/>
            </w:rPr>
            <w:fldChar w:fldCharType="end"/>
          </w:r>
        </w:p>
        <w:p w14:paraId="61CD4609">
          <w:pPr>
            <w:pStyle w:val="16"/>
            <w:tabs>
              <w:tab w:val="right" w:leader="dot" w:pos="8476"/>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_Toc26637 </w:instrText>
          </w:r>
          <w:r>
            <w:rPr>
              <w:rFonts w:hint="eastAsia" w:ascii="Microsoft JhengHei" w:hAnsi="Microsoft JhengHei" w:eastAsia="Microsoft JhengHei" w:cs="Microsoft JhengHei"/>
              <w:szCs w:val="24"/>
            </w:rPr>
            <w:fldChar w:fldCharType="separate"/>
          </w:r>
          <w:r>
            <w:rPr>
              <w:rFonts w:hint="default"/>
            </w:rPr>
            <w:t xml:space="preserve">11. </w:t>
          </w:r>
          <w:r>
            <w:t>相关文件与记录</w:t>
          </w:r>
          <w:r>
            <w:tab/>
          </w:r>
          <w:r>
            <w:fldChar w:fldCharType="begin"/>
          </w:r>
          <w:r>
            <w:instrText xml:space="preserve"> PAGEREF _Toc26637 \h </w:instrText>
          </w:r>
          <w:r>
            <w:fldChar w:fldCharType="separate"/>
          </w:r>
          <w:r>
            <w:t>10</w:t>
          </w:r>
          <w:r>
            <w:fldChar w:fldCharType="end"/>
          </w:r>
          <w:r>
            <w:rPr>
              <w:rFonts w:hint="eastAsia" w:ascii="Microsoft JhengHei" w:hAnsi="Microsoft JhengHei" w:eastAsia="Microsoft JhengHei" w:cs="Microsoft JhengHei"/>
              <w:szCs w:val="24"/>
            </w:rPr>
            <w:fldChar w:fldCharType="end"/>
          </w:r>
        </w:p>
        <w:p w14:paraId="129DEEE9">
          <w:pPr>
            <w:keepNext w:val="0"/>
            <w:keepLines w:val="0"/>
            <w:pageBreakBefore w:val="0"/>
            <w:widowControl w:val="0"/>
            <w:kinsoku w:val="0"/>
            <w:wordWrap/>
            <w:overflowPunct/>
            <w:topLinePunct w:val="0"/>
            <w:autoSpaceDE w:val="0"/>
            <w:autoSpaceDN w:val="0"/>
            <w:bidi w:val="0"/>
            <w:adjustRightInd w:val="0"/>
            <w:snapToGrid w:val="0"/>
            <w:spacing w:line="228" w:lineRule="auto"/>
            <w:textAlignment w:val="baseline"/>
            <w:rPr>
              <w:rFonts w:ascii="Calibri" w:hAnsi="Calibri" w:eastAsia="Calibri" w:cs="Calibri"/>
              <w:snapToGrid w:val="0"/>
              <w:color w:val="000000"/>
              <w:kern w:val="0"/>
              <w:sz w:val="21"/>
              <w:szCs w:val="19"/>
              <w:lang w:val="en-US" w:eastAsia="en-US" w:bidi="ar-SA"/>
            </w:rPr>
          </w:pPr>
          <w:r>
            <w:rPr>
              <w:rFonts w:hint="eastAsia" w:ascii="Microsoft JhengHei" w:hAnsi="Microsoft JhengHei" w:eastAsia="Microsoft JhengHei" w:cs="Microsoft JhengHei"/>
              <w:szCs w:val="24"/>
            </w:rPr>
            <w:fldChar w:fldCharType="end"/>
          </w:r>
        </w:p>
      </w:sdtContent>
    </w:sdt>
    <w:p w14:paraId="262438FC">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 w:name="_Toc16206"/>
      <w:r>
        <w:t>目的</w:t>
      </w:r>
      <w:bookmarkEnd w:id="3"/>
    </w:p>
    <w:p w14:paraId="31A51AFB">
      <w:pPr>
        <w:pStyle w:val="27"/>
        <w:bidi w:val="0"/>
      </w:pPr>
      <w:r>
        <w:rPr>
          <w:rFonts w:hint="eastAsia"/>
          <w:lang w:val="en-US" w:eastAsia="zh-CN"/>
        </w:rPr>
        <w:t>运维服务目录管理规范</w:t>
      </w:r>
      <w:r>
        <w:t>的目的是通过服务定义，建立与维护服务目录，奠定整个运维服务能力体系设计的基文件。对所有提供的服务保证其信息来源的一致性，并且确保那些已经获准访问者能够最大程度的使用它。</w:t>
      </w:r>
    </w:p>
    <w:p w14:paraId="77A9F3BA">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4" w:name="_Toc10612"/>
      <w:r>
        <w:t>范围</w:t>
      </w:r>
      <w:bookmarkEnd w:id="4"/>
    </w:p>
    <w:p w14:paraId="4AD5B561">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本</w:t>
      </w:r>
      <w:r>
        <w:rPr>
          <w:rFonts w:hint="eastAsia"/>
          <w:lang w:val="en-US" w:eastAsia="zh-CN"/>
        </w:rPr>
        <w:t>规范</w:t>
      </w:r>
      <w:r>
        <w:t>适用于运维部。</w:t>
      </w:r>
    </w:p>
    <w:p w14:paraId="00EB122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包括提供和维护所有服务的准确信息，包括所有正在转换或已转换到生产环境中的服务。</w:t>
      </w:r>
    </w:p>
    <w:p w14:paraId="7A5FFBCA">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5" w:name="_Toc22291"/>
      <w:r>
        <w:t>定义</w:t>
      </w:r>
      <w:bookmarkEnd w:id="5"/>
    </w:p>
    <w:p w14:paraId="02187EE7">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服务目录：是用于记录所有服务项目的相关信息的一个数据库或结构化文档资料，包括业务服务目录和技术服务目录。</w:t>
      </w:r>
    </w:p>
    <w:p w14:paraId="7BC3945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定义服务目录的目的是为IT服务提供文件资料和建立其它服务管理组成的基础。本质上，它清晰地定义了从IT组织</w:t>
      </w:r>
      <w:r>
        <w:rPr>
          <w:rFonts w:hint="eastAsia"/>
          <w:lang w:val="en-US" w:eastAsia="zh-CN"/>
        </w:rPr>
        <w:t>可以</w:t>
      </w:r>
      <w:r>
        <w:t>得到什么服务和按商业目标和需求定位</w:t>
      </w:r>
      <w:r>
        <w:rPr>
          <w:rFonts w:hint="eastAsia"/>
          <w:lang w:val="en-US" w:eastAsia="zh-CN"/>
        </w:rPr>
        <w:t>哪些</w:t>
      </w:r>
      <w:r>
        <w:t>服务。它可以作为SLA的基准，在组织中它也成为为规程和流程提供文件资料的基础。</w:t>
      </w:r>
    </w:p>
    <w:p w14:paraId="07B89232">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6" w:name="_Toc18991"/>
      <w:r>
        <w:t>输入与输出</w:t>
      </w:r>
      <w:bookmarkEnd w:id="6"/>
    </w:p>
    <w:p w14:paraId="205E6480">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7" w:name="bookmark25"/>
      <w:bookmarkEnd w:id="7"/>
      <w:bookmarkStart w:id="8" w:name="_Toc31840"/>
      <w:r>
        <w:t>主要输入</w:t>
      </w:r>
      <w:bookmarkEnd w:id="8"/>
    </w:p>
    <w:tbl>
      <w:tblPr>
        <w:tblStyle w:val="24"/>
        <w:tblW w:w="8919" w:type="dxa"/>
        <w:tblInd w:w="6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836"/>
        <w:gridCol w:w="5083"/>
      </w:tblGrid>
      <w:tr w14:paraId="560A28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9" w:hRule="atLeast"/>
        </w:trPr>
        <w:tc>
          <w:tcPr>
            <w:tcW w:w="3836" w:type="dxa"/>
            <w:tcBorders>
              <w:top w:val="single" w:color="000000" w:sz="2" w:space="0"/>
              <w:left w:val="single" w:color="000000" w:sz="2" w:space="0"/>
            </w:tcBorders>
            <w:shd w:val="clear" w:color="auto" w:fill="BFBFBF"/>
          </w:tcPr>
          <w:p w14:paraId="386D1D99">
            <w:pPr>
              <w:keepNext w:val="0"/>
              <w:keepLines w:val="0"/>
              <w:pageBreakBefore w:val="0"/>
              <w:widowControl w:val="0"/>
              <w:kinsoku w:val="0"/>
              <w:wordWrap/>
              <w:overflowPunct/>
              <w:topLinePunct w:val="0"/>
              <w:autoSpaceDE w:val="0"/>
              <w:autoSpaceDN w:val="0"/>
              <w:bidi w:val="0"/>
              <w:adjustRightInd w:val="0"/>
              <w:snapToGrid w:val="0"/>
              <w:spacing w:before="65" w:line="213" w:lineRule="auto"/>
              <w:ind w:left="84"/>
              <w:textAlignment w:val="baseline"/>
              <w:rPr>
                <w:rFonts w:ascii="宋体" w:hAnsi="宋体" w:eastAsia="宋体" w:cs="宋体"/>
                <w:sz w:val="22"/>
                <w:szCs w:val="22"/>
              </w:rPr>
            </w:pPr>
            <w:r>
              <w:rPr>
                <w:rFonts w:ascii="宋体" w:hAnsi="宋体" w:eastAsia="宋体" w:cs="宋体"/>
                <w:spacing w:val="-4"/>
                <w:sz w:val="22"/>
                <w:szCs w:val="22"/>
              </w:rPr>
              <w:t>输入</w:t>
            </w:r>
          </w:p>
        </w:tc>
        <w:tc>
          <w:tcPr>
            <w:tcW w:w="5083" w:type="dxa"/>
            <w:tcBorders>
              <w:top w:val="single" w:color="000000" w:sz="2" w:space="0"/>
              <w:right w:val="single" w:color="000000" w:sz="2" w:space="0"/>
            </w:tcBorders>
            <w:shd w:val="clear" w:color="auto" w:fill="BFBFBF"/>
          </w:tcPr>
          <w:p w14:paraId="06E0506F">
            <w:pPr>
              <w:keepNext w:val="0"/>
              <w:keepLines w:val="0"/>
              <w:pageBreakBefore w:val="0"/>
              <w:widowControl w:val="0"/>
              <w:kinsoku w:val="0"/>
              <w:wordWrap/>
              <w:overflowPunct/>
              <w:topLinePunct w:val="0"/>
              <w:autoSpaceDE w:val="0"/>
              <w:autoSpaceDN w:val="0"/>
              <w:bidi w:val="0"/>
              <w:adjustRightInd w:val="0"/>
              <w:snapToGrid w:val="0"/>
              <w:spacing w:before="65" w:line="213" w:lineRule="auto"/>
              <w:ind w:left="79"/>
              <w:textAlignment w:val="baseline"/>
              <w:rPr>
                <w:rFonts w:ascii="宋体" w:hAnsi="宋体" w:eastAsia="宋体" w:cs="宋体"/>
                <w:sz w:val="22"/>
                <w:szCs w:val="22"/>
              </w:rPr>
            </w:pPr>
            <w:r>
              <w:rPr>
                <w:rFonts w:ascii="宋体" w:hAnsi="宋体" w:eastAsia="宋体" w:cs="宋体"/>
                <w:spacing w:val="-5"/>
                <w:sz w:val="22"/>
                <w:szCs w:val="22"/>
              </w:rPr>
              <w:t>来源</w:t>
            </w:r>
          </w:p>
        </w:tc>
      </w:tr>
      <w:tr w14:paraId="211409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15" w:hRule="atLeast"/>
        </w:trPr>
        <w:tc>
          <w:tcPr>
            <w:tcW w:w="3836" w:type="dxa"/>
            <w:tcBorders>
              <w:left w:val="single" w:color="000000" w:sz="2" w:space="0"/>
            </w:tcBorders>
            <w:vAlign w:val="bottom"/>
          </w:tcPr>
          <w:p w14:paraId="03309103">
            <w:pPr>
              <w:keepNext w:val="0"/>
              <w:keepLines w:val="0"/>
              <w:pageBreakBefore w:val="0"/>
              <w:widowControl w:val="0"/>
              <w:kinsoku w:val="0"/>
              <w:wordWrap/>
              <w:overflowPunct/>
              <w:topLinePunct w:val="0"/>
              <w:autoSpaceDE w:val="0"/>
              <w:autoSpaceDN w:val="0"/>
              <w:bidi w:val="0"/>
              <w:adjustRightInd w:val="0"/>
              <w:snapToGrid w:val="0"/>
              <w:spacing w:before="52" w:line="212" w:lineRule="auto"/>
              <w:ind w:left="73"/>
              <w:textAlignment w:val="baseline"/>
              <w:rPr>
                <w:rFonts w:ascii="宋体" w:hAnsi="宋体" w:eastAsia="宋体" w:cs="宋体"/>
                <w:sz w:val="22"/>
                <w:szCs w:val="22"/>
              </w:rPr>
            </w:pPr>
            <w:r>
              <w:rPr>
                <w:rFonts w:ascii="宋体" w:hAnsi="宋体" w:eastAsia="宋体" w:cs="宋体"/>
                <w:sz w:val="22"/>
                <w:szCs w:val="22"/>
              </w:rPr>
              <w:t>信息技术服务分类与代码</w:t>
            </w:r>
          </w:p>
        </w:tc>
        <w:tc>
          <w:tcPr>
            <w:tcW w:w="5083" w:type="dxa"/>
            <w:tcBorders>
              <w:right w:val="single" w:color="000000" w:sz="2" w:space="0"/>
            </w:tcBorders>
          </w:tcPr>
          <w:p w14:paraId="5D1C9304">
            <w:pPr>
              <w:keepNext w:val="0"/>
              <w:keepLines w:val="0"/>
              <w:pageBreakBefore w:val="0"/>
              <w:widowControl w:val="0"/>
              <w:kinsoku w:val="0"/>
              <w:wordWrap/>
              <w:overflowPunct/>
              <w:topLinePunct w:val="0"/>
              <w:autoSpaceDE w:val="0"/>
              <w:autoSpaceDN w:val="0"/>
              <w:bidi w:val="0"/>
              <w:adjustRightInd w:val="0"/>
              <w:snapToGrid w:val="0"/>
              <w:spacing w:before="52" w:line="212" w:lineRule="auto"/>
              <w:ind w:left="73"/>
              <w:textAlignment w:val="baseline"/>
              <w:rPr>
                <w:rFonts w:ascii="宋体" w:hAnsi="宋体" w:eastAsia="宋体" w:cs="宋体"/>
                <w:sz w:val="22"/>
                <w:szCs w:val="22"/>
              </w:rPr>
            </w:pPr>
            <w:r>
              <w:rPr>
                <w:rFonts w:ascii="宋体" w:hAnsi="宋体" w:eastAsia="宋体" w:cs="宋体"/>
                <w:sz w:val="22"/>
                <w:szCs w:val="22"/>
              </w:rPr>
              <w:t>GB/T 29264-2012 《信息技</w:t>
            </w:r>
            <w:r>
              <w:rPr>
                <w:rFonts w:ascii="宋体" w:hAnsi="宋体" w:eastAsia="宋体" w:cs="宋体"/>
                <w:spacing w:val="-1"/>
                <w:sz w:val="22"/>
                <w:szCs w:val="22"/>
              </w:rPr>
              <w:t>术服务 分类与代码》</w:t>
            </w:r>
          </w:p>
        </w:tc>
      </w:tr>
      <w:tr w14:paraId="3E6F59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9" w:hRule="atLeast"/>
        </w:trPr>
        <w:tc>
          <w:tcPr>
            <w:tcW w:w="3836" w:type="dxa"/>
            <w:tcBorders>
              <w:left w:val="single" w:color="000000" w:sz="2" w:space="0"/>
            </w:tcBorders>
            <w:vAlign w:val="bottom"/>
          </w:tcPr>
          <w:p w14:paraId="0593AA12">
            <w:pPr>
              <w:keepNext w:val="0"/>
              <w:keepLines w:val="0"/>
              <w:pageBreakBefore w:val="0"/>
              <w:widowControl w:val="0"/>
              <w:kinsoku w:val="0"/>
              <w:wordWrap/>
              <w:overflowPunct/>
              <w:topLinePunct w:val="0"/>
              <w:autoSpaceDE w:val="0"/>
              <w:autoSpaceDN w:val="0"/>
              <w:bidi w:val="0"/>
              <w:adjustRightInd w:val="0"/>
              <w:snapToGrid w:val="0"/>
              <w:spacing w:before="52" w:line="212" w:lineRule="auto"/>
              <w:ind w:left="73"/>
              <w:textAlignment w:val="baseline"/>
              <w:rPr>
                <w:rFonts w:ascii="宋体" w:hAnsi="宋体" w:eastAsia="宋体" w:cs="宋体"/>
                <w:sz w:val="22"/>
                <w:szCs w:val="22"/>
              </w:rPr>
            </w:pPr>
            <w:r>
              <w:rPr>
                <w:rFonts w:ascii="宋体" w:hAnsi="宋体" w:eastAsia="宋体" w:cs="宋体"/>
                <w:sz w:val="22"/>
                <w:szCs w:val="22"/>
              </w:rPr>
              <w:t>组织业务和IT策略、计划中的业务信息</w:t>
            </w:r>
          </w:p>
        </w:tc>
        <w:tc>
          <w:tcPr>
            <w:tcW w:w="5083" w:type="dxa"/>
            <w:tcBorders>
              <w:right w:val="single" w:color="000000" w:sz="2" w:space="0"/>
            </w:tcBorders>
          </w:tcPr>
          <w:p w14:paraId="47FD54D8">
            <w:pPr>
              <w:keepNext w:val="0"/>
              <w:keepLines w:val="0"/>
              <w:pageBreakBefore w:val="0"/>
              <w:widowControl w:val="0"/>
              <w:kinsoku w:val="0"/>
              <w:wordWrap/>
              <w:overflowPunct/>
              <w:topLinePunct w:val="0"/>
              <w:autoSpaceDE w:val="0"/>
              <w:autoSpaceDN w:val="0"/>
              <w:bidi w:val="0"/>
              <w:adjustRightInd w:val="0"/>
              <w:snapToGrid w:val="0"/>
              <w:spacing w:before="212" w:line="220" w:lineRule="auto"/>
              <w:ind w:left="83"/>
              <w:textAlignment w:val="baseline"/>
              <w:rPr>
                <w:rFonts w:ascii="宋体" w:hAnsi="宋体" w:eastAsia="宋体" w:cs="宋体"/>
                <w:sz w:val="22"/>
                <w:szCs w:val="22"/>
              </w:rPr>
            </w:pPr>
            <w:r>
              <w:rPr>
                <w:rFonts w:ascii="宋体" w:hAnsi="宋体" w:eastAsia="宋体" w:cs="宋体"/>
                <w:spacing w:val="-2"/>
                <w:sz w:val="22"/>
                <w:szCs w:val="22"/>
              </w:rPr>
              <w:t>组织的发展战略、规划，业务影响分析</w:t>
            </w:r>
          </w:p>
        </w:tc>
      </w:tr>
      <w:tr w14:paraId="0D6ED0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76" w:hRule="atLeast"/>
        </w:trPr>
        <w:tc>
          <w:tcPr>
            <w:tcW w:w="3836" w:type="dxa"/>
            <w:tcBorders>
              <w:left w:val="single" w:color="000000" w:sz="2" w:space="0"/>
            </w:tcBorders>
            <w:vAlign w:val="bottom"/>
          </w:tcPr>
          <w:p w14:paraId="6952F1B0">
            <w:pPr>
              <w:keepNext w:val="0"/>
              <w:keepLines w:val="0"/>
              <w:pageBreakBefore w:val="0"/>
              <w:widowControl w:val="0"/>
              <w:kinsoku w:val="0"/>
              <w:wordWrap/>
              <w:overflowPunct/>
              <w:topLinePunct w:val="0"/>
              <w:autoSpaceDE w:val="0"/>
              <w:autoSpaceDN w:val="0"/>
              <w:bidi w:val="0"/>
              <w:adjustRightInd w:val="0"/>
              <w:snapToGrid w:val="0"/>
              <w:spacing w:before="52" w:line="212" w:lineRule="auto"/>
              <w:ind w:left="73"/>
              <w:textAlignment w:val="baseline"/>
              <w:rPr>
                <w:rFonts w:ascii="宋体" w:hAnsi="宋体" w:eastAsia="宋体" w:cs="宋体"/>
                <w:sz w:val="22"/>
                <w:szCs w:val="22"/>
              </w:rPr>
            </w:pPr>
            <w:r>
              <w:rPr>
                <w:rFonts w:ascii="宋体" w:hAnsi="宋体" w:eastAsia="宋体" w:cs="宋体"/>
                <w:sz w:val="22"/>
                <w:szCs w:val="22"/>
              </w:rPr>
              <w:t>服务级别协议、运维服务合同</w:t>
            </w:r>
          </w:p>
        </w:tc>
        <w:tc>
          <w:tcPr>
            <w:tcW w:w="5083" w:type="dxa"/>
            <w:tcBorders>
              <w:right w:val="single" w:color="000000" w:sz="2" w:space="0"/>
            </w:tcBorders>
          </w:tcPr>
          <w:p w14:paraId="07003F34">
            <w:pPr>
              <w:keepNext w:val="0"/>
              <w:keepLines w:val="0"/>
              <w:pageBreakBefore w:val="0"/>
              <w:widowControl w:val="0"/>
              <w:kinsoku w:val="0"/>
              <w:wordWrap/>
              <w:overflowPunct/>
              <w:topLinePunct w:val="0"/>
              <w:autoSpaceDE w:val="0"/>
              <w:autoSpaceDN w:val="0"/>
              <w:bidi w:val="0"/>
              <w:adjustRightInd w:val="0"/>
              <w:snapToGrid w:val="0"/>
              <w:spacing w:before="214" w:line="220" w:lineRule="auto"/>
              <w:ind w:left="79"/>
              <w:textAlignment w:val="baseline"/>
              <w:rPr>
                <w:rFonts w:ascii="宋体" w:hAnsi="宋体" w:eastAsia="宋体" w:cs="宋体"/>
                <w:sz w:val="22"/>
                <w:szCs w:val="22"/>
              </w:rPr>
            </w:pPr>
            <w:r>
              <w:rPr>
                <w:rFonts w:ascii="宋体" w:hAnsi="宋体" w:eastAsia="宋体" w:cs="宋体"/>
                <w:spacing w:val="-2"/>
                <w:sz w:val="22"/>
                <w:szCs w:val="22"/>
              </w:rPr>
              <w:t>过往服务级别协议、运维服务合同</w:t>
            </w:r>
          </w:p>
        </w:tc>
      </w:tr>
      <w:tr w14:paraId="316821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60" w:hRule="atLeast"/>
        </w:trPr>
        <w:tc>
          <w:tcPr>
            <w:tcW w:w="3836" w:type="dxa"/>
            <w:tcBorders>
              <w:left w:val="single" w:color="000000" w:sz="2" w:space="0"/>
            </w:tcBorders>
            <w:vAlign w:val="bottom"/>
          </w:tcPr>
          <w:p w14:paraId="1D034C4A">
            <w:pPr>
              <w:keepNext w:val="0"/>
              <w:keepLines w:val="0"/>
              <w:pageBreakBefore w:val="0"/>
              <w:widowControl w:val="0"/>
              <w:kinsoku w:val="0"/>
              <w:wordWrap/>
              <w:overflowPunct/>
              <w:topLinePunct w:val="0"/>
              <w:autoSpaceDE w:val="0"/>
              <w:autoSpaceDN w:val="0"/>
              <w:bidi w:val="0"/>
              <w:adjustRightInd w:val="0"/>
              <w:snapToGrid w:val="0"/>
              <w:spacing w:before="52" w:line="212" w:lineRule="auto"/>
              <w:ind w:left="73"/>
              <w:textAlignment w:val="baseline"/>
              <w:rPr>
                <w:rFonts w:ascii="宋体" w:hAnsi="宋体" w:eastAsia="宋体" w:cs="宋体"/>
                <w:sz w:val="22"/>
                <w:szCs w:val="22"/>
              </w:rPr>
            </w:pPr>
            <w:r>
              <w:rPr>
                <w:rFonts w:ascii="宋体" w:hAnsi="宋体" w:eastAsia="宋体" w:cs="宋体"/>
                <w:sz w:val="22"/>
                <w:szCs w:val="22"/>
              </w:rPr>
              <w:t>公司运维服务能力证明</w:t>
            </w:r>
          </w:p>
        </w:tc>
        <w:tc>
          <w:tcPr>
            <w:tcW w:w="5083" w:type="dxa"/>
            <w:tcBorders>
              <w:right w:val="single" w:color="000000" w:sz="2" w:space="0"/>
            </w:tcBorders>
          </w:tcPr>
          <w:p w14:paraId="280DC86B">
            <w:pPr>
              <w:keepNext w:val="0"/>
              <w:keepLines w:val="0"/>
              <w:pageBreakBefore w:val="0"/>
              <w:widowControl w:val="0"/>
              <w:kinsoku w:val="0"/>
              <w:wordWrap/>
              <w:overflowPunct/>
              <w:topLinePunct w:val="0"/>
              <w:autoSpaceDE w:val="0"/>
              <w:autoSpaceDN w:val="0"/>
              <w:bidi w:val="0"/>
              <w:adjustRightInd w:val="0"/>
              <w:snapToGrid w:val="0"/>
              <w:spacing w:before="77" w:line="226" w:lineRule="auto"/>
              <w:ind w:left="79" w:right="44" w:hanging="1"/>
              <w:textAlignment w:val="baseline"/>
              <w:rPr>
                <w:rFonts w:ascii="宋体" w:hAnsi="宋体" w:eastAsia="宋体" w:cs="宋体"/>
                <w:sz w:val="22"/>
                <w:szCs w:val="22"/>
              </w:rPr>
            </w:pPr>
            <w:r>
              <w:rPr>
                <w:rFonts w:ascii="宋体" w:hAnsi="宋体" w:eastAsia="宋体" w:cs="宋体"/>
                <w:spacing w:val="-5"/>
                <w:sz w:val="22"/>
                <w:szCs w:val="22"/>
              </w:rPr>
              <w:t>对运维部运维服务能力的评估（包括人员、资源、</w:t>
            </w:r>
            <w:r>
              <w:rPr>
                <w:rFonts w:hint="eastAsia" w:ascii="宋体" w:hAnsi="宋体" w:eastAsia="宋体" w:cs="宋体"/>
                <w:spacing w:val="-5"/>
                <w:sz w:val="22"/>
                <w:szCs w:val="22"/>
                <w:lang w:val="en-US" w:eastAsia="zh-CN"/>
              </w:rPr>
              <w:t>过程</w:t>
            </w:r>
            <w:r>
              <w:rPr>
                <w:rFonts w:ascii="宋体" w:hAnsi="宋体" w:eastAsia="宋体" w:cs="宋体"/>
                <w:spacing w:val="-5"/>
                <w:sz w:val="22"/>
                <w:szCs w:val="22"/>
              </w:rPr>
              <w:t>、技术</w:t>
            </w:r>
            <w:r>
              <w:rPr>
                <w:rFonts w:hint="eastAsia" w:ascii="宋体" w:hAnsi="宋体" w:cs="宋体"/>
                <w:spacing w:val="-5"/>
                <w:sz w:val="22"/>
                <w:szCs w:val="22"/>
                <w:lang w:eastAsia="zh-CN"/>
              </w:rPr>
              <w:t>、</w:t>
            </w:r>
            <w:r>
              <w:rPr>
                <w:rFonts w:hint="eastAsia" w:ascii="宋体" w:hAnsi="宋体" w:cs="宋体"/>
                <w:spacing w:val="-5"/>
                <w:sz w:val="22"/>
                <w:szCs w:val="22"/>
                <w:lang w:val="en-US" w:eastAsia="zh-CN"/>
              </w:rPr>
              <w:t>交付和应急</w:t>
            </w:r>
            <w:r>
              <w:rPr>
                <w:rFonts w:ascii="宋体" w:hAnsi="宋体" w:eastAsia="宋体" w:cs="宋体"/>
                <w:spacing w:val="-5"/>
                <w:sz w:val="22"/>
                <w:szCs w:val="22"/>
              </w:rPr>
              <w:t>）</w:t>
            </w:r>
          </w:p>
        </w:tc>
      </w:tr>
      <w:tr w14:paraId="45FB18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320" w:hRule="atLeast"/>
        </w:trPr>
        <w:tc>
          <w:tcPr>
            <w:tcW w:w="3836" w:type="dxa"/>
            <w:tcBorders>
              <w:left w:val="single" w:color="000000" w:sz="2" w:space="0"/>
              <w:bottom w:val="single" w:color="000000" w:sz="2" w:space="0"/>
            </w:tcBorders>
            <w:vAlign w:val="bottom"/>
          </w:tcPr>
          <w:p w14:paraId="4A59C422">
            <w:pPr>
              <w:keepNext w:val="0"/>
              <w:keepLines w:val="0"/>
              <w:pageBreakBefore w:val="0"/>
              <w:widowControl w:val="0"/>
              <w:kinsoku w:val="0"/>
              <w:wordWrap/>
              <w:overflowPunct/>
              <w:topLinePunct w:val="0"/>
              <w:autoSpaceDE w:val="0"/>
              <w:autoSpaceDN w:val="0"/>
              <w:bidi w:val="0"/>
              <w:adjustRightInd w:val="0"/>
              <w:snapToGrid w:val="0"/>
              <w:spacing w:before="52" w:line="212" w:lineRule="auto"/>
              <w:ind w:left="73"/>
              <w:textAlignment w:val="baseline"/>
              <w:rPr>
                <w:rFonts w:ascii="宋体" w:hAnsi="宋体" w:eastAsia="宋体" w:cs="宋体"/>
                <w:sz w:val="22"/>
                <w:szCs w:val="22"/>
              </w:rPr>
            </w:pPr>
            <w:r>
              <w:rPr>
                <w:rFonts w:ascii="宋体" w:hAnsi="宋体" w:eastAsia="宋体" w:cs="宋体"/>
                <w:sz w:val="22"/>
                <w:szCs w:val="22"/>
              </w:rPr>
              <w:t>其它服务需求</w:t>
            </w:r>
          </w:p>
        </w:tc>
        <w:tc>
          <w:tcPr>
            <w:tcW w:w="5083" w:type="dxa"/>
            <w:tcBorders>
              <w:bottom w:val="single" w:color="000000" w:sz="2" w:space="0"/>
              <w:right w:val="single" w:color="000000" w:sz="2" w:space="0"/>
            </w:tcBorders>
          </w:tcPr>
          <w:p w14:paraId="4B0B7643">
            <w:pPr>
              <w:keepNext w:val="0"/>
              <w:keepLines w:val="0"/>
              <w:pageBreakBefore w:val="0"/>
              <w:widowControl w:val="0"/>
              <w:kinsoku w:val="0"/>
              <w:wordWrap/>
              <w:overflowPunct/>
              <w:topLinePunct w:val="0"/>
              <w:autoSpaceDE w:val="0"/>
              <w:autoSpaceDN w:val="0"/>
              <w:bidi w:val="0"/>
              <w:adjustRightInd w:val="0"/>
              <w:snapToGrid w:val="0"/>
              <w:spacing w:before="58" w:line="211" w:lineRule="auto"/>
              <w:ind w:left="93"/>
              <w:textAlignment w:val="baseline"/>
              <w:rPr>
                <w:rFonts w:ascii="宋体" w:hAnsi="宋体" w:eastAsia="宋体" w:cs="宋体"/>
                <w:sz w:val="22"/>
                <w:szCs w:val="22"/>
              </w:rPr>
            </w:pPr>
            <w:r>
              <w:rPr>
                <w:rFonts w:ascii="宋体" w:hAnsi="宋体" w:eastAsia="宋体" w:cs="宋体"/>
                <w:spacing w:val="-2"/>
                <w:sz w:val="22"/>
                <w:szCs w:val="22"/>
              </w:rPr>
              <w:t>收集分析其他服务需求的数据和指标</w:t>
            </w:r>
          </w:p>
        </w:tc>
      </w:tr>
    </w:tbl>
    <w:p w14:paraId="2002133D">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9" w:name="_Toc1263"/>
      <w:r>
        <w:t>主要输出</w:t>
      </w:r>
      <w:bookmarkEnd w:id="9"/>
    </w:p>
    <w:p w14:paraId="730A32DE">
      <w:pPr>
        <w:keepNext w:val="0"/>
        <w:keepLines w:val="0"/>
        <w:pageBreakBefore w:val="0"/>
        <w:widowControl w:val="0"/>
        <w:kinsoku w:val="0"/>
        <w:wordWrap/>
        <w:overflowPunct/>
        <w:topLinePunct w:val="0"/>
        <w:autoSpaceDE w:val="0"/>
        <w:autoSpaceDN w:val="0"/>
        <w:bidi w:val="0"/>
        <w:adjustRightInd w:val="0"/>
        <w:snapToGrid w:val="0"/>
        <w:textAlignment w:val="baseline"/>
      </w:pPr>
    </w:p>
    <w:tbl>
      <w:tblPr>
        <w:tblStyle w:val="24"/>
        <w:tblW w:w="8919" w:type="dxa"/>
        <w:tblInd w:w="87"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664"/>
        <w:gridCol w:w="6255"/>
      </w:tblGrid>
      <w:tr w14:paraId="00C2176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23" w:hRule="atLeast"/>
        </w:trPr>
        <w:tc>
          <w:tcPr>
            <w:tcW w:w="2664" w:type="dxa"/>
            <w:tcBorders>
              <w:bottom w:val="single" w:color="000000" w:sz="4" w:space="0"/>
              <w:right w:val="single" w:color="000000" w:sz="4" w:space="0"/>
            </w:tcBorders>
            <w:shd w:val="clear" w:color="auto" w:fill="BFBFBF"/>
          </w:tcPr>
          <w:p w14:paraId="0B550CC0">
            <w:pPr>
              <w:keepNext w:val="0"/>
              <w:keepLines w:val="0"/>
              <w:pageBreakBefore w:val="0"/>
              <w:widowControl w:val="0"/>
              <w:kinsoku w:val="0"/>
              <w:wordWrap/>
              <w:overflowPunct/>
              <w:topLinePunct w:val="0"/>
              <w:autoSpaceDE w:val="0"/>
              <w:autoSpaceDN w:val="0"/>
              <w:bidi w:val="0"/>
              <w:adjustRightInd w:val="0"/>
              <w:snapToGrid w:val="0"/>
              <w:spacing w:before="59" w:line="213" w:lineRule="auto"/>
              <w:ind w:left="83"/>
              <w:textAlignment w:val="baseline"/>
              <w:rPr>
                <w:rFonts w:ascii="宋体" w:hAnsi="宋体" w:eastAsia="宋体" w:cs="宋体"/>
                <w:sz w:val="22"/>
                <w:szCs w:val="22"/>
              </w:rPr>
            </w:pPr>
            <w:r>
              <w:rPr>
                <w:rFonts w:ascii="宋体" w:hAnsi="宋体" w:eastAsia="宋体" w:cs="宋体"/>
                <w:spacing w:val="-4"/>
                <w:sz w:val="22"/>
                <w:szCs w:val="22"/>
              </w:rPr>
              <w:t>输出</w:t>
            </w:r>
          </w:p>
        </w:tc>
        <w:tc>
          <w:tcPr>
            <w:tcW w:w="6255" w:type="dxa"/>
            <w:tcBorders>
              <w:left w:val="single" w:color="000000" w:sz="4" w:space="0"/>
              <w:bottom w:val="single" w:color="000000" w:sz="4" w:space="0"/>
            </w:tcBorders>
            <w:shd w:val="clear" w:color="auto" w:fill="BFBFBF"/>
          </w:tcPr>
          <w:p w14:paraId="1E5C09C8">
            <w:pPr>
              <w:keepNext w:val="0"/>
              <w:keepLines w:val="0"/>
              <w:pageBreakBefore w:val="0"/>
              <w:widowControl w:val="0"/>
              <w:kinsoku w:val="0"/>
              <w:wordWrap/>
              <w:overflowPunct/>
              <w:topLinePunct w:val="0"/>
              <w:autoSpaceDE w:val="0"/>
              <w:autoSpaceDN w:val="0"/>
              <w:bidi w:val="0"/>
              <w:adjustRightInd w:val="0"/>
              <w:snapToGrid w:val="0"/>
              <w:spacing w:before="59" w:line="213" w:lineRule="auto"/>
              <w:ind w:left="85"/>
              <w:textAlignment w:val="baseline"/>
              <w:rPr>
                <w:rFonts w:ascii="宋体" w:hAnsi="宋体" w:eastAsia="宋体" w:cs="宋体"/>
                <w:sz w:val="22"/>
                <w:szCs w:val="22"/>
              </w:rPr>
            </w:pPr>
            <w:r>
              <w:rPr>
                <w:rFonts w:ascii="宋体" w:hAnsi="宋体" w:eastAsia="宋体" w:cs="宋体"/>
                <w:spacing w:val="-6"/>
                <w:sz w:val="22"/>
                <w:szCs w:val="22"/>
              </w:rPr>
              <w:t>去向</w:t>
            </w:r>
          </w:p>
        </w:tc>
      </w:tr>
      <w:tr w14:paraId="335C942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15" w:hRule="atLeast"/>
        </w:trPr>
        <w:tc>
          <w:tcPr>
            <w:tcW w:w="2664" w:type="dxa"/>
            <w:tcBorders>
              <w:top w:val="single" w:color="000000" w:sz="4" w:space="0"/>
              <w:right w:val="single" w:color="000000" w:sz="4" w:space="0"/>
            </w:tcBorders>
          </w:tcPr>
          <w:p w14:paraId="2E0350B8">
            <w:pPr>
              <w:keepNext w:val="0"/>
              <w:keepLines w:val="0"/>
              <w:pageBreakBefore w:val="0"/>
              <w:widowControl w:val="0"/>
              <w:kinsoku w:val="0"/>
              <w:wordWrap/>
              <w:overflowPunct/>
              <w:topLinePunct w:val="0"/>
              <w:autoSpaceDE w:val="0"/>
              <w:autoSpaceDN w:val="0"/>
              <w:bidi w:val="0"/>
              <w:adjustRightInd w:val="0"/>
              <w:snapToGrid w:val="0"/>
              <w:spacing w:before="49" w:line="214" w:lineRule="auto"/>
              <w:ind w:left="87"/>
              <w:textAlignment w:val="baseline"/>
              <w:rPr>
                <w:rFonts w:ascii="宋体" w:hAnsi="宋体" w:eastAsia="宋体" w:cs="宋体"/>
                <w:sz w:val="22"/>
                <w:szCs w:val="22"/>
              </w:rPr>
            </w:pPr>
            <w:r>
              <w:rPr>
                <w:rFonts w:ascii="宋体" w:hAnsi="宋体" w:eastAsia="宋体" w:cs="宋体"/>
                <w:spacing w:val="-4"/>
                <w:sz w:val="22"/>
                <w:szCs w:val="22"/>
              </w:rPr>
              <w:t>服务目录（组织级）</w:t>
            </w:r>
          </w:p>
        </w:tc>
        <w:tc>
          <w:tcPr>
            <w:tcW w:w="6255" w:type="dxa"/>
            <w:tcBorders>
              <w:top w:val="single" w:color="000000" w:sz="4" w:space="0"/>
              <w:left w:val="single" w:color="000000" w:sz="4" w:space="0"/>
            </w:tcBorders>
          </w:tcPr>
          <w:p w14:paraId="2526AEA0">
            <w:pPr>
              <w:keepNext w:val="0"/>
              <w:keepLines w:val="0"/>
              <w:pageBreakBefore w:val="0"/>
              <w:widowControl w:val="0"/>
              <w:kinsoku w:val="0"/>
              <w:wordWrap/>
              <w:overflowPunct/>
              <w:topLinePunct w:val="0"/>
              <w:autoSpaceDE w:val="0"/>
              <w:autoSpaceDN w:val="0"/>
              <w:bidi w:val="0"/>
              <w:adjustRightInd w:val="0"/>
              <w:snapToGrid w:val="0"/>
              <w:spacing w:before="49" w:line="214" w:lineRule="auto"/>
              <w:ind w:left="79"/>
              <w:textAlignment w:val="baseline"/>
              <w:rPr>
                <w:rFonts w:hint="eastAsia" w:ascii="宋体" w:hAnsi="宋体" w:eastAsia="宋体" w:cs="宋体"/>
                <w:sz w:val="22"/>
                <w:szCs w:val="22"/>
                <w:lang w:val="en-US" w:eastAsia="zh-CN"/>
              </w:rPr>
            </w:pPr>
            <w:r>
              <w:rPr>
                <w:rFonts w:ascii="宋体" w:hAnsi="宋体" w:eastAsia="宋体" w:cs="宋体"/>
                <w:spacing w:val="-2"/>
                <w:sz w:val="22"/>
                <w:szCs w:val="22"/>
              </w:rPr>
              <w:t>运维部/质量部</w:t>
            </w:r>
          </w:p>
        </w:tc>
      </w:tr>
    </w:tbl>
    <w:p w14:paraId="1F90AE17">
      <w:pPr>
        <w:pStyle w:val="12"/>
        <w:keepNext w:val="0"/>
        <w:keepLines w:val="0"/>
        <w:pageBreakBefore w:val="0"/>
        <w:widowControl w:val="0"/>
        <w:kinsoku w:val="0"/>
        <w:wordWrap/>
        <w:overflowPunct/>
        <w:topLinePunct w:val="0"/>
        <w:autoSpaceDE w:val="0"/>
        <w:autoSpaceDN w:val="0"/>
        <w:bidi w:val="0"/>
        <w:adjustRightInd w:val="0"/>
        <w:snapToGrid w:val="0"/>
        <w:spacing w:line="342" w:lineRule="auto"/>
        <w:textAlignment w:val="baseline"/>
      </w:pPr>
    </w:p>
    <w:p w14:paraId="481C065F">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0" w:name="_Toc2252"/>
      <w:r>
        <w:t>职责权限</w:t>
      </w:r>
      <w:bookmarkEnd w:id="10"/>
    </w:p>
    <w:tbl>
      <w:tblPr>
        <w:tblStyle w:val="24"/>
        <w:tblW w:w="9146" w:type="dxa"/>
        <w:tblInd w:w="1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411"/>
        <w:gridCol w:w="6735"/>
      </w:tblGrid>
      <w:tr w14:paraId="1446259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398" w:hRule="atLeast"/>
        </w:trPr>
        <w:tc>
          <w:tcPr>
            <w:tcW w:w="2411" w:type="dxa"/>
            <w:tcBorders>
              <w:top w:val="single" w:color="000000" w:sz="10" w:space="0"/>
              <w:left w:val="single" w:color="000000" w:sz="10" w:space="0"/>
            </w:tcBorders>
            <w:shd w:val="clear" w:color="auto" w:fill="D9D9D9"/>
          </w:tcPr>
          <w:p w14:paraId="2C7C8E85">
            <w:pPr>
              <w:keepNext w:val="0"/>
              <w:keepLines w:val="0"/>
              <w:pageBreakBefore w:val="0"/>
              <w:widowControl w:val="0"/>
              <w:kinsoku w:val="0"/>
              <w:wordWrap/>
              <w:overflowPunct/>
              <w:topLinePunct w:val="0"/>
              <w:autoSpaceDE w:val="0"/>
              <w:autoSpaceDN w:val="0"/>
              <w:bidi w:val="0"/>
              <w:adjustRightInd w:val="0"/>
              <w:snapToGrid w:val="0"/>
              <w:spacing w:before="103" w:line="219" w:lineRule="auto"/>
              <w:ind w:left="121"/>
              <w:textAlignment w:val="baseline"/>
              <w:rPr>
                <w:rFonts w:ascii="宋体" w:hAnsi="宋体" w:eastAsia="宋体" w:cs="宋体"/>
                <w:sz w:val="22"/>
                <w:szCs w:val="22"/>
              </w:rPr>
            </w:pPr>
            <w:r>
              <w:rPr>
                <w:rFonts w:ascii="宋体" w:hAnsi="宋体" w:eastAsia="宋体" w:cs="宋体"/>
                <w:b/>
                <w:bCs/>
                <w:spacing w:val="-8"/>
                <w:sz w:val="22"/>
                <w:szCs w:val="22"/>
              </w:rPr>
              <w:t>角</w:t>
            </w:r>
            <w:r>
              <w:rPr>
                <w:rFonts w:ascii="宋体" w:hAnsi="宋体" w:eastAsia="宋体" w:cs="宋体"/>
                <w:spacing w:val="11"/>
                <w:sz w:val="22"/>
                <w:szCs w:val="22"/>
              </w:rPr>
              <w:t xml:space="preserve"> </w:t>
            </w:r>
            <w:r>
              <w:rPr>
                <w:rFonts w:ascii="宋体" w:hAnsi="宋体" w:eastAsia="宋体" w:cs="宋体"/>
                <w:b/>
                <w:bCs/>
                <w:spacing w:val="-8"/>
                <w:sz w:val="22"/>
                <w:szCs w:val="22"/>
              </w:rPr>
              <w:t>色</w:t>
            </w:r>
          </w:p>
        </w:tc>
        <w:tc>
          <w:tcPr>
            <w:tcW w:w="6735" w:type="dxa"/>
            <w:tcBorders>
              <w:top w:val="single" w:color="000000" w:sz="10" w:space="0"/>
              <w:right w:val="single" w:color="000000" w:sz="10" w:space="0"/>
            </w:tcBorders>
            <w:shd w:val="clear" w:color="auto" w:fill="D9D9D9"/>
          </w:tcPr>
          <w:p w14:paraId="34708EEB">
            <w:pPr>
              <w:keepNext w:val="0"/>
              <w:keepLines w:val="0"/>
              <w:pageBreakBefore w:val="0"/>
              <w:widowControl w:val="0"/>
              <w:kinsoku w:val="0"/>
              <w:wordWrap/>
              <w:overflowPunct/>
              <w:topLinePunct w:val="0"/>
              <w:autoSpaceDE w:val="0"/>
              <w:autoSpaceDN w:val="0"/>
              <w:bidi w:val="0"/>
              <w:adjustRightInd w:val="0"/>
              <w:snapToGrid w:val="0"/>
              <w:spacing w:before="102" w:line="222" w:lineRule="auto"/>
              <w:ind w:left="110"/>
              <w:textAlignment w:val="baseline"/>
              <w:rPr>
                <w:rFonts w:ascii="宋体" w:hAnsi="宋体" w:eastAsia="宋体" w:cs="宋体"/>
                <w:sz w:val="22"/>
                <w:szCs w:val="22"/>
              </w:rPr>
            </w:pPr>
            <w:r>
              <w:rPr>
                <w:rFonts w:ascii="宋体" w:hAnsi="宋体" w:eastAsia="宋体" w:cs="宋体"/>
                <w:b/>
                <w:bCs/>
                <w:spacing w:val="-7"/>
                <w:sz w:val="22"/>
                <w:szCs w:val="22"/>
              </w:rPr>
              <w:t>职</w:t>
            </w:r>
            <w:r>
              <w:rPr>
                <w:rFonts w:ascii="宋体" w:hAnsi="宋体" w:eastAsia="宋体" w:cs="宋体"/>
                <w:spacing w:val="26"/>
                <w:sz w:val="22"/>
                <w:szCs w:val="22"/>
              </w:rPr>
              <w:t xml:space="preserve"> </w:t>
            </w:r>
            <w:r>
              <w:rPr>
                <w:rFonts w:ascii="宋体" w:hAnsi="宋体" w:eastAsia="宋体" w:cs="宋体"/>
                <w:b/>
                <w:bCs/>
                <w:spacing w:val="-7"/>
                <w:sz w:val="22"/>
                <w:szCs w:val="22"/>
              </w:rPr>
              <w:t>责</w:t>
            </w:r>
          </w:p>
        </w:tc>
      </w:tr>
      <w:tr w14:paraId="22216770">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234" w:hRule="atLeast"/>
        </w:trPr>
        <w:tc>
          <w:tcPr>
            <w:tcW w:w="2411" w:type="dxa"/>
            <w:tcBorders>
              <w:left w:val="single" w:color="000000" w:sz="10" w:space="0"/>
            </w:tcBorders>
          </w:tcPr>
          <w:p w14:paraId="66F407C0">
            <w:pPr>
              <w:keepNext w:val="0"/>
              <w:keepLines w:val="0"/>
              <w:pageBreakBefore w:val="0"/>
              <w:widowControl w:val="0"/>
              <w:kinsoku w:val="0"/>
              <w:wordWrap/>
              <w:overflowPunct/>
              <w:topLinePunct w:val="0"/>
              <w:autoSpaceDE w:val="0"/>
              <w:autoSpaceDN w:val="0"/>
              <w:bidi w:val="0"/>
              <w:adjustRightInd w:val="0"/>
              <w:snapToGrid w:val="0"/>
              <w:spacing w:before="72" w:line="220" w:lineRule="auto"/>
              <w:ind w:left="113"/>
              <w:textAlignment w:val="baseline"/>
              <w:rPr>
                <w:rFonts w:hint="default" w:ascii="宋体" w:hAnsi="宋体" w:eastAsia="宋体" w:cs="宋体"/>
                <w:sz w:val="22"/>
                <w:szCs w:val="22"/>
                <w:lang w:val="en-US" w:eastAsia="zh-CN"/>
              </w:rPr>
            </w:pPr>
            <w:r>
              <w:rPr>
                <w:rFonts w:hint="eastAsia" w:ascii="宋体" w:hAnsi="宋体" w:cs="宋体"/>
                <w:spacing w:val="-2"/>
                <w:sz w:val="22"/>
                <w:szCs w:val="22"/>
                <w:lang w:val="en-US" w:eastAsia="zh-CN"/>
              </w:rPr>
              <w:t>运维部经理</w:t>
            </w:r>
          </w:p>
        </w:tc>
        <w:tc>
          <w:tcPr>
            <w:tcW w:w="6735" w:type="dxa"/>
            <w:tcBorders>
              <w:right w:val="single" w:color="000000" w:sz="10" w:space="0"/>
            </w:tcBorders>
          </w:tcPr>
          <w:p w14:paraId="695041E5">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79" w:line="231" w:lineRule="auto"/>
              <w:ind w:left="425" w:leftChars="0" w:right="260" w:hanging="425" w:firstLineChars="0"/>
              <w:textAlignment w:val="baseline"/>
              <w:rPr>
                <w:rFonts w:ascii="宋体" w:hAnsi="宋体" w:eastAsia="宋体" w:cs="宋体"/>
                <w:sz w:val="22"/>
                <w:szCs w:val="22"/>
              </w:rPr>
            </w:pPr>
            <w:r>
              <w:rPr>
                <w:rFonts w:ascii="宋体" w:hAnsi="宋体" w:eastAsia="宋体" w:cs="宋体"/>
                <w:spacing w:val="-2"/>
                <w:sz w:val="22"/>
                <w:szCs w:val="22"/>
              </w:rPr>
              <w:t>负责监督服务目录流程管理，识别过程中存在的问题</w:t>
            </w:r>
            <w:r>
              <w:rPr>
                <w:rFonts w:ascii="宋体" w:hAnsi="宋体" w:eastAsia="宋体" w:cs="宋体"/>
                <w:spacing w:val="-3"/>
                <w:sz w:val="22"/>
                <w:szCs w:val="22"/>
              </w:rPr>
              <w:t>并提出改</w:t>
            </w:r>
            <w:r>
              <w:rPr>
                <w:rFonts w:ascii="宋体" w:hAnsi="宋体" w:eastAsia="宋体" w:cs="宋体"/>
                <w:spacing w:val="-8"/>
                <w:sz w:val="22"/>
                <w:szCs w:val="22"/>
              </w:rPr>
              <w:t>进措施；</w:t>
            </w:r>
          </w:p>
          <w:p w14:paraId="7A547218">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before="51" w:line="220" w:lineRule="auto"/>
              <w:ind w:left="425" w:leftChars="0" w:hanging="425" w:firstLineChars="0"/>
              <w:textAlignment w:val="baseline"/>
              <w:rPr>
                <w:rFonts w:ascii="宋体" w:hAnsi="宋体" w:eastAsia="宋体" w:cs="宋体"/>
                <w:sz w:val="22"/>
                <w:szCs w:val="22"/>
              </w:rPr>
            </w:pPr>
            <w:r>
              <w:rPr>
                <w:rFonts w:ascii="宋体" w:hAnsi="宋体" w:eastAsia="宋体" w:cs="宋体"/>
                <w:spacing w:val="-7"/>
                <w:sz w:val="22"/>
                <w:szCs w:val="22"/>
              </w:rPr>
              <w:t>审批服务目录；</w:t>
            </w:r>
          </w:p>
        </w:tc>
      </w:tr>
      <w:tr w14:paraId="2279C85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1896" w:hRule="atLeast"/>
        </w:trPr>
        <w:tc>
          <w:tcPr>
            <w:tcW w:w="2411" w:type="dxa"/>
            <w:tcBorders>
              <w:left w:val="single" w:color="000000" w:sz="10" w:space="0"/>
              <w:bottom w:val="single" w:color="000000" w:sz="10" w:space="0"/>
            </w:tcBorders>
          </w:tcPr>
          <w:p w14:paraId="7657FE66">
            <w:pPr>
              <w:keepNext w:val="0"/>
              <w:keepLines w:val="0"/>
              <w:pageBreakBefore w:val="0"/>
              <w:widowControl w:val="0"/>
              <w:kinsoku w:val="0"/>
              <w:wordWrap/>
              <w:overflowPunct/>
              <w:topLinePunct w:val="0"/>
              <w:autoSpaceDE w:val="0"/>
              <w:autoSpaceDN w:val="0"/>
              <w:bidi w:val="0"/>
              <w:adjustRightInd w:val="0"/>
              <w:snapToGrid w:val="0"/>
              <w:spacing w:before="71" w:line="220" w:lineRule="auto"/>
              <w:ind w:left="113"/>
              <w:textAlignment w:val="baseline"/>
              <w:rPr>
                <w:rFonts w:ascii="宋体" w:hAnsi="宋体" w:eastAsia="宋体" w:cs="宋体"/>
                <w:sz w:val="22"/>
                <w:szCs w:val="22"/>
              </w:rPr>
            </w:pPr>
            <w:r>
              <w:rPr>
                <w:rFonts w:ascii="宋体" w:hAnsi="宋体" w:eastAsia="宋体" w:cs="宋体"/>
                <w:spacing w:val="-2"/>
                <w:sz w:val="22"/>
                <w:szCs w:val="22"/>
              </w:rPr>
              <w:t>运维部</w:t>
            </w:r>
          </w:p>
        </w:tc>
        <w:tc>
          <w:tcPr>
            <w:tcW w:w="6735" w:type="dxa"/>
            <w:tcBorders>
              <w:bottom w:val="single" w:color="000000" w:sz="10" w:space="0"/>
              <w:right w:val="single" w:color="000000" w:sz="10" w:space="0"/>
            </w:tcBorders>
          </w:tcPr>
          <w:p w14:paraId="4F6E3FAE">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81" w:line="220" w:lineRule="auto"/>
              <w:ind w:left="425" w:leftChars="0" w:hanging="425" w:firstLineChars="0"/>
              <w:textAlignment w:val="baseline"/>
              <w:rPr>
                <w:rFonts w:ascii="宋体" w:hAnsi="宋体" w:eastAsia="宋体" w:cs="宋体"/>
                <w:sz w:val="22"/>
                <w:szCs w:val="22"/>
              </w:rPr>
            </w:pPr>
            <w:r>
              <w:rPr>
                <w:rFonts w:ascii="宋体" w:hAnsi="宋体" w:eastAsia="宋体" w:cs="宋体"/>
                <w:spacing w:val="-6"/>
                <w:sz w:val="22"/>
                <w:szCs w:val="22"/>
              </w:rPr>
              <w:t>负责调查了解、确定用户服务需求；</w:t>
            </w:r>
          </w:p>
          <w:p w14:paraId="253A2016">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66" w:line="230" w:lineRule="auto"/>
              <w:ind w:left="425" w:leftChars="0" w:right="263" w:hanging="425" w:firstLineChars="0"/>
              <w:textAlignment w:val="baseline"/>
              <w:rPr>
                <w:rFonts w:ascii="宋体" w:hAnsi="宋体" w:eastAsia="宋体" w:cs="宋体"/>
                <w:sz w:val="22"/>
                <w:szCs w:val="22"/>
              </w:rPr>
            </w:pPr>
            <w:r>
              <w:rPr>
                <w:rFonts w:ascii="宋体" w:hAnsi="宋体" w:eastAsia="宋体" w:cs="宋体"/>
                <w:spacing w:val="-1"/>
                <w:sz w:val="22"/>
                <w:szCs w:val="22"/>
              </w:rPr>
              <w:t>对运维业务的外部环境及发展状况提出意</w:t>
            </w:r>
            <w:r>
              <w:rPr>
                <w:rFonts w:ascii="宋体" w:hAnsi="宋体" w:eastAsia="宋体" w:cs="宋体"/>
                <w:spacing w:val="-2"/>
                <w:sz w:val="22"/>
                <w:szCs w:val="22"/>
              </w:rPr>
              <w:t>见，分析当前和未来</w:t>
            </w:r>
            <w:r>
              <w:rPr>
                <w:rFonts w:ascii="宋体" w:hAnsi="宋体" w:eastAsia="宋体" w:cs="宋体"/>
                <w:spacing w:val="-9"/>
                <w:sz w:val="22"/>
                <w:szCs w:val="22"/>
              </w:rPr>
              <w:t>公司运维业务；</w:t>
            </w:r>
          </w:p>
          <w:p w14:paraId="54C0FF58">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54" w:line="220" w:lineRule="auto"/>
              <w:ind w:left="425" w:leftChars="0" w:hanging="425" w:firstLineChars="0"/>
              <w:textAlignment w:val="baseline"/>
              <w:rPr>
                <w:rFonts w:ascii="宋体" w:hAnsi="宋体" w:eastAsia="宋体" w:cs="宋体"/>
                <w:sz w:val="22"/>
                <w:szCs w:val="22"/>
              </w:rPr>
            </w:pPr>
            <w:r>
              <w:rPr>
                <w:rFonts w:ascii="宋体" w:hAnsi="宋体" w:eastAsia="宋体" w:cs="宋体"/>
                <w:spacing w:val="-7"/>
                <w:sz w:val="22"/>
                <w:szCs w:val="22"/>
              </w:rPr>
              <w:t>负责编制服务目录；</w:t>
            </w:r>
          </w:p>
          <w:p w14:paraId="13B058D2">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49" w:line="220" w:lineRule="auto"/>
              <w:ind w:left="425" w:leftChars="0" w:hanging="425" w:firstLineChars="0"/>
              <w:textAlignment w:val="baseline"/>
              <w:rPr>
                <w:rFonts w:ascii="宋体" w:hAnsi="宋体" w:eastAsia="宋体" w:cs="宋体"/>
                <w:sz w:val="22"/>
                <w:szCs w:val="22"/>
              </w:rPr>
            </w:pPr>
            <w:r>
              <w:rPr>
                <w:rFonts w:ascii="宋体" w:hAnsi="宋体" w:eastAsia="宋体" w:cs="宋体"/>
                <w:spacing w:val="-3"/>
                <w:sz w:val="22"/>
                <w:szCs w:val="22"/>
              </w:rPr>
              <w:t>负责组织相关人员进行运维业务分析，并评审服务目</w:t>
            </w:r>
            <w:r>
              <w:rPr>
                <w:rFonts w:ascii="宋体" w:hAnsi="宋体" w:eastAsia="宋体" w:cs="宋体"/>
                <w:spacing w:val="-4"/>
                <w:sz w:val="22"/>
                <w:szCs w:val="22"/>
              </w:rPr>
              <w:t>录；</w:t>
            </w:r>
          </w:p>
          <w:p w14:paraId="712C93BA">
            <w:pPr>
              <w:keepNext w:val="0"/>
              <w:keepLines w:val="0"/>
              <w:pageBreakBefore w:val="0"/>
              <w:widowControl w:val="0"/>
              <w:numPr>
                <w:ilvl w:val="0"/>
                <w:numId w:val="3"/>
              </w:numPr>
              <w:kinsoku w:val="0"/>
              <w:wordWrap/>
              <w:overflowPunct/>
              <w:topLinePunct w:val="0"/>
              <w:autoSpaceDE w:val="0"/>
              <w:autoSpaceDN w:val="0"/>
              <w:bidi w:val="0"/>
              <w:adjustRightInd w:val="0"/>
              <w:snapToGrid w:val="0"/>
              <w:spacing w:before="42" w:line="216" w:lineRule="auto"/>
              <w:ind w:left="425" w:leftChars="0" w:hanging="425" w:firstLineChars="0"/>
              <w:textAlignment w:val="baseline"/>
              <w:rPr>
                <w:rFonts w:ascii="宋体" w:hAnsi="宋体" w:eastAsia="宋体" w:cs="宋体"/>
                <w:sz w:val="22"/>
                <w:szCs w:val="22"/>
              </w:rPr>
            </w:pPr>
            <w:r>
              <w:rPr>
                <w:rFonts w:ascii="宋体" w:hAnsi="宋体" w:eastAsia="宋体" w:cs="宋体"/>
                <w:spacing w:val="-6"/>
                <w:sz w:val="22"/>
                <w:szCs w:val="22"/>
              </w:rPr>
              <w:t>负责更新服务目录。</w:t>
            </w:r>
          </w:p>
        </w:tc>
      </w:tr>
    </w:tbl>
    <w:p w14:paraId="29B8274A">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11" w:name="_Toc29638"/>
      <w:r>
        <w:t>服务目录管理机制</w:t>
      </w:r>
      <w:bookmarkEnd w:id="11"/>
    </w:p>
    <w:p w14:paraId="0C1A9E14">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12" w:name="bookmark26"/>
      <w:bookmarkEnd w:id="12"/>
      <w:bookmarkStart w:id="13" w:name="_Toc8595"/>
      <w:r>
        <w:t>服务目录内容</w:t>
      </w:r>
      <w:bookmarkEnd w:id="13"/>
      <w:bookmarkStart w:id="32" w:name="_GoBack"/>
      <w:bookmarkEnd w:id="32"/>
    </w:p>
    <w:p w14:paraId="74270B3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服务目录覆盖组织当前所有服务能力范围内可以提供的服务，服务目录应包括：</w:t>
      </w:r>
    </w:p>
    <w:p w14:paraId="5EE5983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服务目录（包括编码、名称）</w:t>
      </w:r>
    </w:p>
    <w:p w14:paraId="7CDBDF59">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服务详述（包括如服务对象、服务分类、服务内容、服务频度、响应时间、交付方式、交付成果等）</w:t>
      </w:r>
    </w:p>
    <w:p w14:paraId="1F9EDCCD">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未来服务目录可在服务产品化的基础上，增加运维部门、服务时长、服务人员所需最低技能，服务报价等细项；以及增加通过服务搭配与组合以实现不同级别的服务承诺。</w:t>
      </w:r>
    </w:p>
    <w:p w14:paraId="705A289A">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14" w:name="_Toc5292"/>
      <w:r>
        <w:t>受众和目标</w:t>
      </w:r>
      <w:bookmarkEnd w:id="14"/>
    </w:p>
    <w:p w14:paraId="75A119F2">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目标是成为组织（IT服务供方）与客户（IT服务需方）之间的一个桥梁。对客户准确、完整地介绍组织的IT服务能力范围；对组织可以利用服务目录以及客户对服务目录的反馈，开展自身IT服务能力建设的依据。有利于服务的不断改进和资源匹配率的不断提升。</w:t>
      </w:r>
    </w:p>
    <w:p w14:paraId="1EB77203">
      <w:pPr>
        <w:pStyle w:val="27"/>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t>服务目录：在服务目录建立后，原则上每年年初修编一次。若遇外部重大环境变化、内部重大战略转型也可按需进行修编。受众主要</w:t>
      </w:r>
      <w:r>
        <w:rPr>
          <w:rFonts w:hint="eastAsia"/>
          <w:lang w:val="en-US" w:eastAsia="zh-CN"/>
        </w:rPr>
        <w:t>是运维相关部门。</w:t>
      </w:r>
    </w:p>
    <w:p w14:paraId="0A70BCEB">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15" w:name="_Toc11216"/>
      <w:r>
        <w:t>基本要求</w:t>
      </w:r>
      <w:bookmarkEnd w:id="15"/>
    </w:p>
    <w:p w14:paraId="161CE996">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服务目录的基本要求包括：</w:t>
      </w:r>
    </w:p>
    <w:p w14:paraId="255C201F">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服务目录应被制定并形成文档记录，在提供运维服务的过程中得到了应用；</w:t>
      </w:r>
    </w:p>
    <w:p w14:paraId="3531D4EF">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服务目录应在每年年初进行修编；</w:t>
      </w:r>
    </w:p>
    <w:p w14:paraId="746A25F6">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所有服务目录应包括服务列表，列表层次结构需符合 GB/T 29264-2012的要求</w:t>
      </w:r>
    </w:p>
    <w:p w14:paraId="19F05BA1">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服务目录应全面覆盖组织当前运维服务能力下可提供的运维服务；</w:t>
      </w:r>
    </w:p>
    <w:p w14:paraId="472597A3">
      <w:pPr>
        <w:pStyle w:val="39"/>
        <w:keepNext w:val="0"/>
        <w:keepLines w:val="0"/>
        <w:pageBreakBefore w:val="0"/>
        <w:widowControl w:val="0"/>
        <w:numPr>
          <w:ilvl w:val="0"/>
          <w:numId w:val="4"/>
        </w:numPr>
        <w:kinsoku w:val="0"/>
        <w:wordWrap/>
        <w:overflowPunct/>
        <w:topLinePunct w:val="0"/>
        <w:autoSpaceDE w:val="0"/>
        <w:autoSpaceDN w:val="0"/>
        <w:bidi w:val="0"/>
        <w:adjustRightInd w:val="0"/>
        <w:snapToGrid w:val="0"/>
        <w:ind w:left="425" w:leftChars="0" w:hanging="425" w:firstLineChars="0"/>
        <w:textAlignment w:val="baseline"/>
      </w:pPr>
      <w:r>
        <w:t>服务目录应简明易懂，并对每个服务项有相关说明，容易被客户理解。</w:t>
      </w:r>
    </w:p>
    <w:p w14:paraId="261DA65F">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16" w:name="_Toc9036"/>
      <w:r>
        <w:t>内容形式</w:t>
      </w:r>
      <w:bookmarkEnd w:id="16"/>
    </w:p>
    <w:p w14:paraId="37F5A07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服务目录中包含服务级别协议的内容。服务目录是决定客户期望的关键文件，客户和支持人员应该能方便地使用该文件以作为服务级别协议的参考。</w:t>
      </w:r>
    </w:p>
    <w:p w14:paraId="3301016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服务目录以表格的形式展现，服务目录（包括编码、名称）、服务详述（包括如服务对象、服务分类、服务内容、服务频度、响应时间、交付方式、交付成果等）。</w:t>
      </w:r>
    </w:p>
    <w:p w14:paraId="0E3196C4">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具体内容与形式参见《</w:t>
      </w:r>
      <w:r>
        <w:rPr>
          <w:rFonts w:hint="eastAsia"/>
          <w:lang w:val="en-US" w:eastAsia="zh-CN"/>
        </w:rPr>
        <w:t>公司运行维护</w:t>
      </w:r>
      <w:r>
        <w:t>服务目录》。</w:t>
      </w:r>
    </w:p>
    <w:p w14:paraId="7B47A4E2">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17" w:name="_Toc7059"/>
      <w:r>
        <w:rPr>
          <w:rFonts w:hint="eastAsia"/>
          <w:lang w:val="en-US" w:eastAsia="zh-CN"/>
        </w:rPr>
        <w:t>服务目录需求定义</w:t>
      </w:r>
      <w:bookmarkEnd w:id="17"/>
    </w:p>
    <w:p w14:paraId="43B882A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服务目录的需求应满足服务目录阅读者需求。为了满足客户管理和内部管理的需要，在提供服务目录前需要</w:t>
      </w:r>
      <w:r>
        <w:rPr>
          <w:rFonts w:hint="eastAsia"/>
          <w:lang w:val="en-US" w:eastAsia="zh-CN"/>
        </w:rPr>
        <w:t>由</w:t>
      </w:r>
      <w:r>
        <w:t>运维部就服务目录进行协商并将协商结果记录下来。</w:t>
      </w:r>
    </w:p>
    <w:p w14:paraId="71212D5E">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5689"/>
      <w:r>
        <w:rPr>
          <w:rFonts w:hint="eastAsia"/>
          <w:lang w:val="en-US" w:eastAsia="zh-CN"/>
        </w:rPr>
        <w:t>服务目录管理与分发</w:t>
      </w:r>
      <w:bookmarkEnd w:id="18"/>
    </w:p>
    <w:p w14:paraId="55AE97F3">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服务目录的储存、分发和维护应建有规范的制度，相关的管理人员和流程负责人对服务目录管理流程的文档负责。建立健全文档的访问控制机制，服务目录储存位置应对</w:t>
      </w:r>
      <w:r>
        <w:rPr>
          <w:rFonts w:hint="eastAsia"/>
          <w:lang w:val="en-US" w:eastAsia="zh-CN"/>
        </w:rPr>
        <w:t>运维部</w:t>
      </w:r>
      <w:r>
        <w:t>服务管理人员公布。项目级服务目录存储位置仅对项目相关的服务管理人员公布。文档应定期检查，保证可用。</w:t>
      </w:r>
    </w:p>
    <w:p w14:paraId="4F98E1EE">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服务目录的更新应通过变更与发布管理过程进行。</w:t>
      </w:r>
    </w:p>
    <w:p w14:paraId="665BCE6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9" w:name="_Toc15558"/>
      <w:r>
        <w:rPr>
          <w:rFonts w:hint="eastAsia"/>
          <w:lang w:val="en-US" w:eastAsia="zh-CN"/>
        </w:rPr>
        <w:t>服务目录定期回顾与有效性保障</w:t>
      </w:r>
      <w:bookmarkEnd w:id="19"/>
    </w:p>
    <w:p w14:paraId="253E9FB0">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为了避免服务目录流于形式，成为无意义的劳动，</w:t>
      </w:r>
      <w:r>
        <w:rPr>
          <w:rFonts w:hint="eastAsia"/>
          <w:lang w:val="en-US" w:eastAsia="zh-CN"/>
        </w:rPr>
        <w:t>运维部</w:t>
      </w:r>
      <w:r>
        <w:t>服务管理人员和流程负责人应充分利用服务服务目录，每年定期或根据实际情况对服务目录进行回顾，提高决策的科学性。</w:t>
      </w:r>
    </w:p>
    <w:p w14:paraId="390B700F">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0" w:name="_Toc726"/>
      <w:r>
        <w:t>服务目录管理流程</w:t>
      </w:r>
      <w:bookmarkEnd w:id="20"/>
    </w:p>
    <w:p w14:paraId="1701A3EB">
      <w:pPr>
        <w:pStyle w:val="27"/>
        <w:keepNext w:val="0"/>
        <w:keepLines w:val="0"/>
        <w:pageBreakBefore w:val="0"/>
        <w:widowControl w:val="0"/>
        <w:kinsoku w:val="0"/>
        <w:wordWrap/>
        <w:overflowPunct/>
        <w:topLinePunct w:val="0"/>
        <w:autoSpaceDE w:val="0"/>
        <w:autoSpaceDN w:val="0"/>
        <w:bidi w:val="0"/>
        <w:adjustRightInd w:val="0"/>
        <w:snapToGrid w:val="0"/>
        <w:textAlignment w:val="baseline"/>
      </w:pPr>
      <w:r>
        <w:t>服务目录管理流程的范围包括提供和维护所有服务的准确信息。包括所有在转换或已转换到生产环境中的服务。</w:t>
      </w:r>
      <w:bookmarkStart w:id="21" w:name="bookmark27"/>
      <w:bookmarkEnd w:id="21"/>
    </w:p>
    <w:p w14:paraId="15AF7CAB">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22" w:name="_Toc19438"/>
      <w:r>
        <w:t>管理流程图</w:t>
      </w:r>
      <w:bookmarkEnd w:id="22"/>
    </w:p>
    <w:p w14:paraId="5422567B">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pPr>
      <w:r>
        <w:drawing>
          <wp:inline distT="0" distB="0" distL="114300" distR="114300">
            <wp:extent cx="5068570" cy="4988560"/>
            <wp:effectExtent l="0" t="0" r="6350" b="1016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5068570" cy="4988560"/>
                    </a:xfrm>
                    <a:prstGeom prst="rect">
                      <a:avLst/>
                    </a:prstGeom>
                    <a:noFill/>
                    <a:ln>
                      <a:noFill/>
                    </a:ln>
                  </pic:spPr>
                </pic:pic>
              </a:graphicData>
            </a:graphic>
          </wp:inline>
        </w:drawing>
      </w:r>
    </w:p>
    <w:p w14:paraId="504DBAFE">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23" w:name="_Toc1400"/>
      <w:r>
        <w:t>过程描述</w:t>
      </w:r>
      <w:bookmarkEnd w:id="23"/>
    </w:p>
    <w:tbl>
      <w:tblPr>
        <w:tblStyle w:val="24"/>
        <w:tblW w:w="9095" w:type="dxa"/>
        <w:tblInd w:w="3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05"/>
        <w:gridCol w:w="1412"/>
        <w:gridCol w:w="1698"/>
        <w:gridCol w:w="4980"/>
      </w:tblGrid>
      <w:tr w14:paraId="45C135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7" w:hRule="atLeast"/>
        </w:trPr>
        <w:tc>
          <w:tcPr>
            <w:tcW w:w="1005" w:type="dxa"/>
            <w:shd w:val="clear" w:color="auto" w:fill="B2B2B2"/>
          </w:tcPr>
          <w:p w14:paraId="45511595">
            <w:pPr>
              <w:keepNext w:val="0"/>
              <w:keepLines w:val="0"/>
              <w:pageBreakBefore w:val="0"/>
              <w:widowControl w:val="0"/>
              <w:kinsoku w:val="0"/>
              <w:wordWrap/>
              <w:overflowPunct/>
              <w:topLinePunct w:val="0"/>
              <w:autoSpaceDE w:val="0"/>
              <w:autoSpaceDN w:val="0"/>
              <w:bidi w:val="0"/>
              <w:adjustRightInd w:val="0"/>
              <w:snapToGrid w:val="0"/>
              <w:spacing w:before="144" w:line="228" w:lineRule="auto"/>
              <w:ind w:left="251"/>
              <w:textAlignment w:val="baseline"/>
              <w:rPr>
                <w:rFonts w:ascii="宋体" w:hAnsi="宋体" w:eastAsia="宋体" w:cs="宋体"/>
                <w:sz w:val="20"/>
                <w:szCs w:val="20"/>
              </w:rPr>
            </w:pPr>
            <w:r>
              <w:rPr>
                <w:rFonts w:ascii="宋体" w:hAnsi="宋体" w:eastAsia="宋体" w:cs="宋体"/>
                <w:b/>
                <w:bCs/>
                <w:spacing w:val="-2"/>
                <w:sz w:val="20"/>
                <w:szCs w:val="20"/>
              </w:rPr>
              <w:t>编</w:t>
            </w:r>
            <w:r>
              <w:rPr>
                <w:rFonts w:ascii="宋体" w:hAnsi="宋体" w:eastAsia="宋体" w:cs="宋体"/>
                <w:spacing w:val="12"/>
                <w:sz w:val="20"/>
                <w:szCs w:val="20"/>
              </w:rPr>
              <w:t xml:space="preserve"> </w:t>
            </w:r>
            <w:r>
              <w:rPr>
                <w:rFonts w:ascii="宋体" w:hAnsi="宋体" w:eastAsia="宋体" w:cs="宋体"/>
                <w:b/>
                <w:bCs/>
                <w:spacing w:val="-2"/>
                <w:sz w:val="20"/>
                <w:szCs w:val="20"/>
              </w:rPr>
              <w:t>码</w:t>
            </w:r>
          </w:p>
        </w:tc>
        <w:tc>
          <w:tcPr>
            <w:tcW w:w="1412" w:type="dxa"/>
            <w:shd w:val="clear" w:color="auto" w:fill="B2B2B2"/>
          </w:tcPr>
          <w:p w14:paraId="7868B648">
            <w:pPr>
              <w:keepNext w:val="0"/>
              <w:keepLines w:val="0"/>
              <w:pageBreakBefore w:val="0"/>
              <w:widowControl w:val="0"/>
              <w:kinsoku w:val="0"/>
              <w:wordWrap/>
              <w:overflowPunct/>
              <w:topLinePunct w:val="0"/>
              <w:autoSpaceDE w:val="0"/>
              <w:autoSpaceDN w:val="0"/>
              <w:bidi w:val="0"/>
              <w:adjustRightInd w:val="0"/>
              <w:snapToGrid w:val="0"/>
              <w:spacing w:before="148" w:line="228" w:lineRule="auto"/>
              <w:ind w:left="452"/>
              <w:textAlignment w:val="baseline"/>
              <w:rPr>
                <w:rFonts w:ascii="宋体" w:hAnsi="宋体" w:eastAsia="宋体" w:cs="宋体"/>
                <w:sz w:val="20"/>
                <w:szCs w:val="20"/>
              </w:rPr>
            </w:pPr>
            <w:r>
              <w:rPr>
                <w:rFonts w:ascii="宋体" w:hAnsi="宋体" w:eastAsia="宋体" w:cs="宋体"/>
                <w:b/>
                <w:bCs/>
                <w:spacing w:val="-4"/>
                <w:sz w:val="20"/>
                <w:szCs w:val="20"/>
              </w:rPr>
              <w:t>活</w:t>
            </w:r>
            <w:r>
              <w:rPr>
                <w:rFonts w:ascii="宋体" w:hAnsi="宋体" w:eastAsia="宋体" w:cs="宋体"/>
                <w:spacing w:val="17"/>
                <w:sz w:val="20"/>
                <w:szCs w:val="20"/>
              </w:rPr>
              <w:t xml:space="preserve"> </w:t>
            </w:r>
            <w:r>
              <w:rPr>
                <w:rFonts w:ascii="宋体" w:hAnsi="宋体" w:eastAsia="宋体" w:cs="宋体"/>
                <w:b/>
                <w:bCs/>
                <w:spacing w:val="-4"/>
                <w:sz w:val="20"/>
                <w:szCs w:val="20"/>
              </w:rPr>
              <w:t>动</w:t>
            </w:r>
          </w:p>
        </w:tc>
        <w:tc>
          <w:tcPr>
            <w:tcW w:w="1698" w:type="dxa"/>
            <w:shd w:val="clear" w:color="auto" w:fill="B2B2B2"/>
          </w:tcPr>
          <w:p w14:paraId="59171122">
            <w:pPr>
              <w:keepNext w:val="0"/>
              <w:keepLines w:val="0"/>
              <w:pageBreakBefore w:val="0"/>
              <w:widowControl w:val="0"/>
              <w:kinsoku w:val="0"/>
              <w:wordWrap/>
              <w:overflowPunct/>
              <w:topLinePunct w:val="0"/>
              <w:autoSpaceDE w:val="0"/>
              <w:autoSpaceDN w:val="0"/>
              <w:bidi w:val="0"/>
              <w:adjustRightInd w:val="0"/>
              <w:snapToGrid w:val="0"/>
              <w:spacing w:before="144" w:line="228" w:lineRule="auto"/>
              <w:ind w:left="450"/>
              <w:textAlignment w:val="baseline"/>
              <w:rPr>
                <w:rFonts w:ascii="宋体" w:hAnsi="宋体" w:eastAsia="宋体" w:cs="宋体"/>
                <w:sz w:val="20"/>
                <w:szCs w:val="20"/>
              </w:rPr>
            </w:pPr>
            <w:r>
              <w:rPr>
                <w:rFonts w:ascii="宋体" w:hAnsi="宋体" w:eastAsia="宋体" w:cs="宋体"/>
                <w:b/>
                <w:bCs/>
                <w:spacing w:val="-1"/>
                <w:sz w:val="20"/>
                <w:szCs w:val="20"/>
              </w:rPr>
              <w:t>责任主体</w:t>
            </w:r>
          </w:p>
        </w:tc>
        <w:tc>
          <w:tcPr>
            <w:tcW w:w="4980" w:type="dxa"/>
            <w:shd w:val="clear" w:color="auto" w:fill="B2B2B2"/>
          </w:tcPr>
          <w:p w14:paraId="71BBCAB6">
            <w:pPr>
              <w:keepNext w:val="0"/>
              <w:keepLines w:val="0"/>
              <w:pageBreakBefore w:val="0"/>
              <w:widowControl w:val="0"/>
              <w:kinsoku w:val="0"/>
              <w:wordWrap/>
              <w:overflowPunct/>
              <w:topLinePunct w:val="0"/>
              <w:autoSpaceDE w:val="0"/>
              <w:autoSpaceDN w:val="0"/>
              <w:bidi w:val="0"/>
              <w:adjustRightInd w:val="0"/>
              <w:snapToGrid w:val="0"/>
              <w:spacing w:before="144" w:line="228" w:lineRule="auto"/>
              <w:ind w:left="2242"/>
              <w:textAlignment w:val="baseline"/>
              <w:rPr>
                <w:rFonts w:ascii="宋体" w:hAnsi="宋体" w:eastAsia="宋体" w:cs="宋体"/>
                <w:sz w:val="20"/>
                <w:szCs w:val="20"/>
              </w:rPr>
            </w:pPr>
            <w:r>
              <w:rPr>
                <w:rFonts w:ascii="宋体" w:hAnsi="宋体" w:eastAsia="宋体" w:cs="宋体"/>
                <w:b/>
                <w:bCs/>
                <w:spacing w:val="-3"/>
                <w:sz w:val="20"/>
                <w:szCs w:val="20"/>
              </w:rPr>
              <w:t>说</w:t>
            </w:r>
            <w:r>
              <w:rPr>
                <w:rFonts w:ascii="宋体" w:hAnsi="宋体" w:eastAsia="宋体" w:cs="宋体"/>
                <w:spacing w:val="52"/>
                <w:sz w:val="20"/>
                <w:szCs w:val="20"/>
              </w:rPr>
              <w:t xml:space="preserve"> </w:t>
            </w:r>
            <w:r>
              <w:rPr>
                <w:rFonts w:ascii="宋体" w:hAnsi="宋体" w:eastAsia="宋体" w:cs="宋体"/>
                <w:b/>
                <w:bCs/>
                <w:spacing w:val="-3"/>
                <w:sz w:val="20"/>
                <w:szCs w:val="20"/>
              </w:rPr>
              <w:t>明</w:t>
            </w:r>
          </w:p>
        </w:tc>
      </w:tr>
    </w:tbl>
    <w:p w14:paraId="7467974C">
      <w:pPr>
        <w:keepNext w:val="0"/>
        <w:keepLines w:val="0"/>
        <w:pageBreakBefore w:val="0"/>
        <w:widowControl w:val="0"/>
        <w:kinsoku w:val="0"/>
        <w:wordWrap/>
        <w:overflowPunct/>
        <w:topLinePunct w:val="0"/>
        <w:autoSpaceDE w:val="0"/>
        <w:autoSpaceDN w:val="0"/>
        <w:bidi w:val="0"/>
        <w:adjustRightInd w:val="0"/>
        <w:snapToGrid w:val="0"/>
        <w:spacing w:line="90" w:lineRule="auto"/>
        <w:textAlignment w:val="baseline"/>
        <w:rPr>
          <w:rFonts w:ascii="Arial"/>
          <w:sz w:val="2"/>
        </w:rPr>
      </w:pPr>
    </w:p>
    <w:tbl>
      <w:tblPr>
        <w:tblStyle w:val="24"/>
        <w:tblW w:w="9095" w:type="dxa"/>
        <w:tblInd w:w="16"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005"/>
        <w:gridCol w:w="1412"/>
        <w:gridCol w:w="1698"/>
        <w:gridCol w:w="4980"/>
      </w:tblGrid>
      <w:tr w14:paraId="18E3BD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54" w:hRule="atLeast"/>
        </w:trPr>
        <w:tc>
          <w:tcPr>
            <w:tcW w:w="1005" w:type="dxa"/>
          </w:tcPr>
          <w:p w14:paraId="0B28CB8A">
            <w:pPr>
              <w:keepNext w:val="0"/>
              <w:keepLines w:val="0"/>
              <w:pageBreakBefore w:val="0"/>
              <w:widowControl w:val="0"/>
              <w:kinsoku w:val="0"/>
              <w:wordWrap/>
              <w:overflowPunct/>
              <w:topLinePunct w:val="0"/>
              <w:autoSpaceDE w:val="0"/>
              <w:autoSpaceDN w:val="0"/>
              <w:bidi w:val="0"/>
              <w:adjustRightInd w:val="0"/>
              <w:snapToGrid w:val="0"/>
              <w:spacing w:before="195" w:line="268" w:lineRule="exact"/>
              <w:ind w:left="151"/>
              <w:textAlignment w:val="baseline"/>
              <w:rPr>
                <w:rFonts w:ascii="宋体" w:hAnsi="宋体" w:eastAsia="宋体" w:cs="宋体"/>
                <w:sz w:val="20"/>
                <w:szCs w:val="20"/>
              </w:rPr>
            </w:pPr>
            <w:r>
              <w:rPr>
                <w:rFonts w:ascii="宋体" w:hAnsi="宋体" w:eastAsia="宋体" w:cs="宋体"/>
                <w:spacing w:val="-6"/>
                <w:position w:val="1"/>
                <w:sz w:val="20"/>
                <w:szCs w:val="20"/>
              </w:rPr>
              <w:t>1.1</w:t>
            </w:r>
          </w:p>
        </w:tc>
        <w:tc>
          <w:tcPr>
            <w:tcW w:w="1412" w:type="dxa"/>
          </w:tcPr>
          <w:p w14:paraId="45C31E88">
            <w:pPr>
              <w:keepNext w:val="0"/>
              <w:keepLines w:val="0"/>
              <w:pageBreakBefore w:val="0"/>
              <w:widowControl w:val="0"/>
              <w:kinsoku w:val="0"/>
              <w:wordWrap/>
              <w:overflowPunct/>
              <w:topLinePunct w:val="0"/>
              <w:autoSpaceDE w:val="0"/>
              <w:autoSpaceDN w:val="0"/>
              <w:bidi w:val="0"/>
              <w:adjustRightInd w:val="0"/>
              <w:snapToGrid w:val="0"/>
              <w:spacing w:before="147" w:line="228" w:lineRule="auto"/>
              <w:ind w:left="116"/>
              <w:textAlignment w:val="baseline"/>
              <w:rPr>
                <w:rFonts w:ascii="宋体" w:hAnsi="宋体" w:eastAsia="宋体" w:cs="宋体"/>
                <w:sz w:val="20"/>
                <w:szCs w:val="20"/>
              </w:rPr>
            </w:pPr>
            <w:r>
              <w:rPr>
                <w:rFonts w:ascii="宋体" w:hAnsi="宋体" w:eastAsia="宋体" w:cs="宋体"/>
                <w:spacing w:val="6"/>
                <w:sz w:val="20"/>
                <w:szCs w:val="20"/>
              </w:rPr>
              <w:t>设计服务范</w:t>
            </w:r>
          </w:p>
          <w:p w14:paraId="63995EB6">
            <w:pPr>
              <w:keepNext w:val="0"/>
              <w:keepLines w:val="0"/>
              <w:pageBreakBefore w:val="0"/>
              <w:widowControl w:val="0"/>
              <w:kinsoku w:val="0"/>
              <w:wordWrap/>
              <w:overflowPunct/>
              <w:topLinePunct w:val="0"/>
              <w:autoSpaceDE w:val="0"/>
              <w:autoSpaceDN w:val="0"/>
              <w:bidi w:val="0"/>
              <w:adjustRightInd w:val="0"/>
              <w:snapToGrid w:val="0"/>
              <w:spacing w:before="218" w:line="228" w:lineRule="auto"/>
              <w:ind w:left="146"/>
              <w:textAlignment w:val="baseline"/>
              <w:rPr>
                <w:rFonts w:ascii="宋体" w:hAnsi="宋体" w:eastAsia="宋体" w:cs="宋体"/>
                <w:sz w:val="20"/>
                <w:szCs w:val="20"/>
              </w:rPr>
            </w:pPr>
            <w:r>
              <w:rPr>
                <w:rFonts w:ascii="宋体" w:hAnsi="宋体" w:eastAsia="宋体" w:cs="宋体"/>
                <w:sz w:val="20"/>
                <w:szCs w:val="20"/>
              </w:rPr>
              <w:t>围和服务项</w:t>
            </w:r>
          </w:p>
        </w:tc>
        <w:tc>
          <w:tcPr>
            <w:tcW w:w="1698" w:type="dxa"/>
          </w:tcPr>
          <w:p w14:paraId="05080AB0">
            <w:pPr>
              <w:keepNext w:val="0"/>
              <w:keepLines w:val="0"/>
              <w:pageBreakBefore w:val="0"/>
              <w:widowControl w:val="0"/>
              <w:kinsoku w:val="0"/>
              <w:wordWrap/>
              <w:overflowPunct/>
              <w:topLinePunct w:val="0"/>
              <w:autoSpaceDE w:val="0"/>
              <w:autoSpaceDN w:val="0"/>
              <w:bidi w:val="0"/>
              <w:adjustRightInd w:val="0"/>
              <w:snapToGrid w:val="0"/>
              <w:spacing w:before="147" w:line="228" w:lineRule="auto"/>
              <w:ind w:left="112"/>
              <w:textAlignment w:val="baseline"/>
              <w:rPr>
                <w:rFonts w:ascii="宋体" w:hAnsi="宋体" w:eastAsia="宋体" w:cs="宋体"/>
                <w:sz w:val="20"/>
                <w:szCs w:val="20"/>
              </w:rPr>
            </w:pPr>
            <w:r>
              <w:rPr>
                <w:rFonts w:ascii="宋体" w:hAnsi="宋体" w:eastAsia="宋体" w:cs="宋体"/>
                <w:spacing w:val="6"/>
                <w:sz w:val="20"/>
                <w:szCs w:val="20"/>
              </w:rPr>
              <w:t>服务目录负责人</w:t>
            </w:r>
          </w:p>
        </w:tc>
        <w:tc>
          <w:tcPr>
            <w:tcW w:w="4980" w:type="dxa"/>
          </w:tcPr>
          <w:p w14:paraId="2B3B5422">
            <w:pPr>
              <w:keepNext w:val="0"/>
              <w:keepLines w:val="0"/>
              <w:pageBreakBefore w:val="0"/>
              <w:widowControl w:val="0"/>
              <w:kinsoku w:val="0"/>
              <w:wordWrap/>
              <w:overflowPunct/>
              <w:topLinePunct w:val="0"/>
              <w:autoSpaceDE w:val="0"/>
              <w:autoSpaceDN w:val="0"/>
              <w:bidi w:val="0"/>
              <w:adjustRightInd w:val="0"/>
              <w:snapToGrid w:val="0"/>
              <w:spacing w:before="166" w:line="359" w:lineRule="auto"/>
              <w:ind w:left="198" w:right="261" w:hanging="80"/>
              <w:textAlignment w:val="baseline"/>
              <w:rPr>
                <w:rFonts w:ascii="宋体" w:hAnsi="宋体" w:eastAsia="宋体" w:cs="宋体"/>
                <w:sz w:val="20"/>
                <w:szCs w:val="20"/>
              </w:rPr>
            </w:pPr>
            <w:r>
              <w:rPr>
                <w:rFonts w:ascii="宋体" w:hAnsi="宋体" w:eastAsia="宋体" w:cs="宋体"/>
                <w:spacing w:val="8"/>
                <w:sz w:val="20"/>
                <w:szCs w:val="20"/>
              </w:rPr>
              <w:t>服务目录负责人识别并梳理服务项，作为制定服务</w:t>
            </w:r>
            <w:r>
              <w:rPr>
                <w:rFonts w:ascii="宋体" w:hAnsi="宋体" w:eastAsia="宋体" w:cs="宋体"/>
                <w:spacing w:val="2"/>
                <w:sz w:val="20"/>
                <w:szCs w:val="20"/>
              </w:rPr>
              <w:t>目录参考依据。设计服务范围和服务项。</w:t>
            </w:r>
          </w:p>
        </w:tc>
      </w:tr>
      <w:tr w14:paraId="179382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9" w:hRule="atLeast"/>
        </w:trPr>
        <w:tc>
          <w:tcPr>
            <w:tcW w:w="1005" w:type="dxa"/>
          </w:tcPr>
          <w:p w14:paraId="77236C3F">
            <w:pPr>
              <w:keepNext w:val="0"/>
              <w:keepLines w:val="0"/>
              <w:pageBreakBefore w:val="0"/>
              <w:widowControl w:val="0"/>
              <w:kinsoku w:val="0"/>
              <w:wordWrap/>
              <w:overflowPunct/>
              <w:topLinePunct w:val="0"/>
              <w:autoSpaceDE w:val="0"/>
              <w:autoSpaceDN w:val="0"/>
              <w:bidi w:val="0"/>
              <w:adjustRightInd w:val="0"/>
              <w:snapToGrid w:val="0"/>
              <w:spacing w:before="181" w:line="268" w:lineRule="exact"/>
              <w:ind w:left="151"/>
              <w:textAlignment w:val="baseline"/>
              <w:rPr>
                <w:rFonts w:ascii="宋体" w:hAnsi="宋体" w:eastAsia="宋体" w:cs="宋体"/>
                <w:sz w:val="20"/>
                <w:szCs w:val="20"/>
              </w:rPr>
            </w:pPr>
            <w:r>
              <w:rPr>
                <w:rFonts w:ascii="宋体" w:hAnsi="宋体" w:eastAsia="宋体" w:cs="宋体"/>
                <w:spacing w:val="-6"/>
                <w:position w:val="1"/>
                <w:sz w:val="20"/>
                <w:szCs w:val="20"/>
              </w:rPr>
              <w:t>1.2</w:t>
            </w:r>
          </w:p>
        </w:tc>
        <w:tc>
          <w:tcPr>
            <w:tcW w:w="1412" w:type="dxa"/>
          </w:tcPr>
          <w:p w14:paraId="2C0CC06B">
            <w:pPr>
              <w:keepNext w:val="0"/>
              <w:keepLines w:val="0"/>
              <w:pageBreakBefore w:val="0"/>
              <w:widowControl w:val="0"/>
              <w:kinsoku w:val="0"/>
              <w:wordWrap/>
              <w:overflowPunct/>
              <w:topLinePunct w:val="0"/>
              <w:autoSpaceDE w:val="0"/>
              <w:autoSpaceDN w:val="0"/>
              <w:bidi w:val="0"/>
              <w:adjustRightInd w:val="0"/>
              <w:snapToGrid w:val="0"/>
              <w:spacing w:before="133" w:line="228" w:lineRule="auto"/>
              <w:ind w:left="108"/>
              <w:textAlignment w:val="baseline"/>
              <w:rPr>
                <w:rFonts w:ascii="宋体" w:hAnsi="宋体" w:eastAsia="宋体" w:cs="宋体"/>
                <w:sz w:val="20"/>
                <w:szCs w:val="20"/>
              </w:rPr>
            </w:pPr>
            <w:r>
              <w:rPr>
                <w:rFonts w:ascii="宋体" w:hAnsi="宋体" w:eastAsia="宋体" w:cs="宋体"/>
                <w:spacing w:val="6"/>
                <w:sz w:val="20"/>
                <w:szCs w:val="20"/>
              </w:rPr>
              <w:t>确定服务范</w:t>
            </w:r>
          </w:p>
          <w:p w14:paraId="6E2482BC">
            <w:pPr>
              <w:keepNext w:val="0"/>
              <w:keepLines w:val="0"/>
              <w:pageBreakBefore w:val="0"/>
              <w:widowControl w:val="0"/>
              <w:kinsoku w:val="0"/>
              <w:wordWrap/>
              <w:overflowPunct/>
              <w:topLinePunct w:val="0"/>
              <w:autoSpaceDE w:val="0"/>
              <w:autoSpaceDN w:val="0"/>
              <w:bidi w:val="0"/>
              <w:adjustRightInd w:val="0"/>
              <w:snapToGrid w:val="0"/>
              <w:spacing w:before="218" w:line="228" w:lineRule="auto"/>
              <w:ind w:left="146"/>
              <w:textAlignment w:val="baseline"/>
              <w:rPr>
                <w:rFonts w:ascii="宋体" w:hAnsi="宋体" w:eastAsia="宋体" w:cs="宋体"/>
                <w:sz w:val="20"/>
                <w:szCs w:val="20"/>
              </w:rPr>
            </w:pPr>
            <w:r>
              <w:rPr>
                <w:rFonts w:ascii="宋体" w:hAnsi="宋体" w:eastAsia="宋体" w:cs="宋体"/>
                <w:sz w:val="20"/>
                <w:szCs w:val="20"/>
              </w:rPr>
              <w:t>围和服务项</w:t>
            </w:r>
          </w:p>
        </w:tc>
        <w:tc>
          <w:tcPr>
            <w:tcW w:w="1698" w:type="dxa"/>
          </w:tcPr>
          <w:p w14:paraId="651A3468">
            <w:pPr>
              <w:keepNext w:val="0"/>
              <w:keepLines w:val="0"/>
              <w:pageBreakBefore w:val="0"/>
              <w:widowControl w:val="0"/>
              <w:kinsoku w:val="0"/>
              <w:wordWrap/>
              <w:overflowPunct/>
              <w:topLinePunct w:val="0"/>
              <w:autoSpaceDE w:val="0"/>
              <w:autoSpaceDN w:val="0"/>
              <w:bidi w:val="0"/>
              <w:adjustRightInd w:val="0"/>
              <w:snapToGrid w:val="0"/>
              <w:spacing w:before="153" w:line="358" w:lineRule="auto"/>
              <w:ind w:left="112" w:right="126"/>
              <w:textAlignment w:val="baseline"/>
              <w:rPr>
                <w:rFonts w:hint="eastAsia" w:ascii="宋体" w:hAnsi="宋体" w:eastAsia="宋体" w:cs="宋体"/>
                <w:sz w:val="20"/>
                <w:szCs w:val="20"/>
                <w:lang w:eastAsia="zh-CN"/>
              </w:rPr>
            </w:pPr>
            <w:r>
              <w:rPr>
                <w:rFonts w:ascii="宋体" w:hAnsi="宋体" w:eastAsia="宋体" w:cs="宋体"/>
                <w:spacing w:val="6"/>
                <w:sz w:val="20"/>
                <w:szCs w:val="20"/>
              </w:rPr>
              <w:t>运维部</w:t>
            </w:r>
          </w:p>
        </w:tc>
        <w:tc>
          <w:tcPr>
            <w:tcW w:w="4980" w:type="dxa"/>
          </w:tcPr>
          <w:p w14:paraId="2C38A3D3">
            <w:pPr>
              <w:keepNext w:val="0"/>
              <w:keepLines w:val="0"/>
              <w:pageBreakBefore w:val="0"/>
              <w:widowControl w:val="0"/>
              <w:kinsoku w:val="0"/>
              <w:wordWrap/>
              <w:overflowPunct/>
              <w:topLinePunct w:val="0"/>
              <w:autoSpaceDE w:val="0"/>
              <w:autoSpaceDN w:val="0"/>
              <w:bidi w:val="0"/>
              <w:adjustRightInd w:val="0"/>
              <w:snapToGrid w:val="0"/>
              <w:spacing w:before="153" w:line="358" w:lineRule="auto"/>
              <w:ind w:left="118" w:right="261"/>
              <w:textAlignment w:val="baseline"/>
              <w:rPr>
                <w:rFonts w:ascii="宋体" w:hAnsi="宋体" w:eastAsia="宋体" w:cs="宋体"/>
                <w:sz w:val="20"/>
                <w:szCs w:val="20"/>
              </w:rPr>
            </w:pPr>
            <w:r>
              <w:rPr>
                <w:rFonts w:ascii="宋体" w:hAnsi="宋体" w:eastAsia="宋体" w:cs="宋体"/>
                <w:spacing w:val="8"/>
                <w:sz w:val="20"/>
                <w:szCs w:val="20"/>
              </w:rPr>
              <w:t>服务目录负责人配合运维部共同确定</w:t>
            </w:r>
            <w:r>
              <w:rPr>
                <w:rFonts w:ascii="宋体" w:hAnsi="宋体" w:eastAsia="宋体" w:cs="宋体"/>
                <w:spacing w:val="4"/>
                <w:sz w:val="20"/>
                <w:szCs w:val="20"/>
              </w:rPr>
              <w:t>服务范围和服务项。</w:t>
            </w:r>
          </w:p>
        </w:tc>
      </w:tr>
      <w:tr w14:paraId="2556B9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9" w:hRule="atLeast"/>
        </w:trPr>
        <w:tc>
          <w:tcPr>
            <w:tcW w:w="1005" w:type="dxa"/>
          </w:tcPr>
          <w:p w14:paraId="58D5668D">
            <w:pPr>
              <w:keepNext w:val="0"/>
              <w:keepLines w:val="0"/>
              <w:pageBreakBefore w:val="0"/>
              <w:widowControl w:val="0"/>
              <w:kinsoku w:val="0"/>
              <w:wordWrap/>
              <w:overflowPunct/>
              <w:topLinePunct w:val="0"/>
              <w:autoSpaceDE w:val="0"/>
              <w:autoSpaceDN w:val="0"/>
              <w:bidi w:val="0"/>
              <w:adjustRightInd w:val="0"/>
              <w:snapToGrid w:val="0"/>
              <w:spacing w:before="183" w:line="267" w:lineRule="exact"/>
              <w:ind w:left="151"/>
              <w:textAlignment w:val="baseline"/>
              <w:rPr>
                <w:rFonts w:ascii="宋体" w:hAnsi="宋体" w:eastAsia="宋体" w:cs="宋体"/>
                <w:sz w:val="20"/>
                <w:szCs w:val="20"/>
              </w:rPr>
            </w:pPr>
            <w:r>
              <w:rPr>
                <w:rFonts w:ascii="宋体" w:hAnsi="宋体" w:eastAsia="宋体" w:cs="宋体"/>
                <w:spacing w:val="-6"/>
                <w:position w:val="1"/>
                <w:sz w:val="20"/>
                <w:szCs w:val="20"/>
              </w:rPr>
              <w:t>1.3</w:t>
            </w:r>
          </w:p>
        </w:tc>
        <w:tc>
          <w:tcPr>
            <w:tcW w:w="1412" w:type="dxa"/>
          </w:tcPr>
          <w:p w14:paraId="07FF82BA">
            <w:pPr>
              <w:keepNext w:val="0"/>
              <w:keepLines w:val="0"/>
              <w:pageBreakBefore w:val="0"/>
              <w:widowControl w:val="0"/>
              <w:kinsoku w:val="0"/>
              <w:wordWrap/>
              <w:overflowPunct/>
              <w:topLinePunct w:val="0"/>
              <w:autoSpaceDE w:val="0"/>
              <w:autoSpaceDN w:val="0"/>
              <w:bidi w:val="0"/>
              <w:adjustRightInd w:val="0"/>
              <w:snapToGrid w:val="0"/>
              <w:spacing w:before="155" w:line="357" w:lineRule="auto"/>
              <w:ind w:left="109" w:right="262" w:firstLine="4"/>
              <w:textAlignment w:val="baseline"/>
              <w:rPr>
                <w:rFonts w:ascii="宋体" w:hAnsi="宋体" w:eastAsia="宋体" w:cs="宋体"/>
                <w:sz w:val="20"/>
                <w:szCs w:val="20"/>
              </w:rPr>
            </w:pPr>
            <w:r>
              <w:rPr>
                <w:rFonts w:ascii="宋体" w:hAnsi="宋体" w:eastAsia="宋体" w:cs="宋体"/>
                <w:spacing w:val="5"/>
                <w:sz w:val="20"/>
                <w:szCs w:val="20"/>
              </w:rPr>
              <w:t>构建服务目</w:t>
            </w:r>
            <w:r>
              <w:rPr>
                <w:rFonts w:ascii="宋体" w:hAnsi="宋体" w:eastAsia="宋体" w:cs="宋体"/>
                <w:sz w:val="20"/>
                <w:szCs w:val="20"/>
              </w:rPr>
              <w:t>录</w:t>
            </w:r>
          </w:p>
        </w:tc>
        <w:tc>
          <w:tcPr>
            <w:tcW w:w="1698" w:type="dxa"/>
          </w:tcPr>
          <w:p w14:paraId="3AABBFD4">
            <w:pPr>
              <w:keepNext w:val="0"/>
              <w:keepLines w:val="0"/>
              <w:pageBreakBefore w:val="0"/>
              <w:widowControl w:val="0"/>
              <w:kinsoku w:val="0"/>
              <w:wordWrap/>
              <w:overflowPunct/>
              <w:topLinePunct w:val="0"/>
              <w:autoSpaceDE w:val="0"/>
              <w:autoSpaceDN w:val="0"/>
              <w:bidi w:val="0"/>
              <w:adjustRightInd w:val="0"/>
              <w:snapToGrid w:val="0"/>
              <w:spacing w:before="134" w:line="228" w:lineRule="auto"/>
              <w:ind w:left="112"/>
              <w:textAlignment w:val="baseline"/>
              <w:rPr>
                <w:rFonts w:ascii="宋体" w:hAnsi="宋体" w:eastAsia="宋体" w:cs="宋体"/>
                <w:sz w:val="20"/>
                <w:szCs w:val="20"/>
              </w:rPr>
            </w:pPr>
            <w:r>
              <w:rPr>
                <w:rFonts w:ascii="宋体" w:hAnsi="宋体" w:eastAsia="宋体" w:cs="宋体"/>
                <w:spacing w:val="6"/>
                <w:sz w:val="20"/>
                <w:szCs w:val="20"/>
              </w:rPr>
              <w:t>服务目录负责人</w:t>
            </w:r>
          </w:p>
        </w:tc>
        <w:tc>
          <w:tcPr>
            <w:tcW w:w="4980" w:type="dxa"/>
          </w:tcPr>
          <w:p w14:paraId="6FB0AD06">
            <w:pPr>
              <w:keepNext w:val="0"/>
              <w:keepLines w:val="0"/>
              <w:pageBreakBefore w:val="0"/>
              <w:widowControl w:val="0"/>
              <w:kinsoku w:val="0"/>
              <w:wordWrap/>
              <w:overflowPunct/>
              <w:topLinePunct w:val="0"/>
              <w:autoSpaceDE w:val="0"/>
              <w:autoSpaceDN w:val="0"/>
              <w:bidi w:val="0"/>
              <w:adjustRightInd w:val="0"/>
              <w:snapToGrid w:val="0"/>
              <w:spacing w:before="134" w:line="228" w:lineRule="auto"/>
              <w:ind w:left="118"/>
              <w:textAlignment w:val="baseline"/>
              <w:rPr>
                <w:rFonts w:ascii="宋体" w:hAnsi="宋体" w:eastAsia="宋体" w:cs="宋体"/>
                <w:sz w:val="20"/>
                <w:szCs w:val="20"/>
              </w:rPr>
            </w:pPr>
            <w:r>
              <w:rPr>
                <w:rFonts w:ascii="宋体" w:hAnsi="宋体" w:eastAsia="宋体" w:cs="宋体"/>
                <w:spacing w:val="8"/>
                <w:sz w:val="20"/>
                <w:szCs w:val="20"/>
              </w:rPr>
              <w:t>服务目录负责人在服务级别负责人的协助下，构建</w:t>
            </w:r>
          </w:p>
          <w:p w14:paraId="2550FE85">
            <w:pPr>
              <w:keepNext w:val="0"/>
              <w:keepLines w:val="0"/>
              <w:pageBreakBefore w:val="0"/>
              <w:widowControl w:val="0"/>
              <w:kinsoku w:val="0"/>
              <w:wordWrap/>
              <w:overflowPunct/>
              <w:topLinePunct w:val="0"/>
              <w:autoSpaceDE w:val="0"/>
              <w:autoSpaceDN w:val="0"/>
              <w:bidi w:val="0"/>
              <w:adjustRightInd w:val="0"/>
              <w:snapToGrid w:val="0"/>
              <w:spacing w:before="218" w:line="228" w:lineRule="auto"/>
              <w:ind w:left="118"/>
              <w:textAlignment w:val="baseline"/>
              <w:rPr>
                <w:rFonts w:ascii="宋体" w:hAnsi="宋体" w:eastAsia="宋体" w:cs="宋体"/>
                <w:sz w:val="20"/>
                <w:szCs w:val="20"/>
              </w:rPr>
            </w:pPr>
            <w:r>
              <w:rPr>
                <w:rFonts w:ascii="宋体" w:hAnsi="宋体" w:eastAsia="宋体" w:cs="宋体"/>
                <w:spacing w:val="2"/>
                <w:sz w:val="20"/>
                <w:szCs w:val="20"/>
              </w:rPr>
              <w:t>服务目录。</w:t>
            </w:r>
          </w:p>
        </w:tc>
      </w:tr>
      <w:tr w14:paraId="2AC953B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9" w:hRule="atLeast"/>
        </w:trPr>
        <w:tc>
          <w:tcPr>
            <w:tcW w:w="1005" w:type="dxa"/>
          </w:tcPr>
          <w:p w14:paraId="6DB48C49">
            <w:pPr>
              <w:keepNext w:val="0"/>
              <w:keepLines w:val="0"/>
              <w:pageBreakBefore w:val="0"/>
              <w:widowControl w:val="0"/>
              <w:kinsoku w:val="0"/>
              <w:wordWrap/>
              <w:overflowPunct/>
              <w:topLinePunct w:val="0"/>
              <w:autoSpaceDE w:val="0"/>
              <w:autoSpaceDN w:val="0"/>
              <w:bidi w:val="0"/>
              <w:adjustRightInd w:val="0"/>
              <w:snapToGrid w:val="0"/>
              <w:spacing w:before="184" w:line="268" w:lineRule="exact"/>
              <w:ind w:left="151"/>
              <w:textAlignment w:val="baseline"/>
              <w:rPr>
                <w:rFonts w:ascii="宋体" w:hAnsi="宋体" w:eastAsia="宋体" w:cs="宋体"/>
                <w:sz w:val="20"/>
                <w:szCs w:val="20"/>
              </w:rPr>
            </w:pPr>
            <w:r>
              <w:rPr>
                <w:rFonts w:ascii="宋体" w:hAnsi="宋体" w:eastAsia="宋体" w:cs="宋体"/>
                <w:spacing w:val="-6"/>
                <w:position w:val="1"/>
                <w:sz w:val="20"/>
                <w:szCs w:val="20"/>
              </w:rPr>
              <w:t>1.4</w:t>
            </w:r>
          </w:p>
        </w:tc>
        <w:tc>
          <w:tcPr>
            <w:tcW w:w="1412" w:type="dxa"/>
          </w:tcPr>
          <w:p w14:paraId="6B69656E">
            <w:pPr>
              <w:keepNext w:val="0"/>
              <w:keepLines w:val="0"/>
              <w:pageBreakBefore w:val="0"/>
              <w:widowControl w:val="0"/>
              <w:kinsoku w:val="0"/>
              <w:wordWrap/>
              <w:overflowPunct/>
              <w:topLinePunct w:val="0"/>
              <w:autoSpaceDE w:val="0"/>
              <w:autoSpaceDN w:val="0"/>
              <w:bidi w:val="0"/>
              <w:adjustRightInd w:val="0"/>
              <w:snapToGrid w:val="0"/>
              <w:spacing w:before="155" w:line="357" w:lineRule="auto"/>
              <w:ind w:left="108" w:right="260" w:hanging="1"/>
              <w:textAlignment w:val="baseline"/>
              <w:rPr>
                <w:rFonts w:ascii="宋体" w:hAnsi="宋体" w:eastAsia="宋体" w:cs="宋体"/>
                <w:sz w:val="20"/>
                <w:szCs w:val="20"/>
              </w:rPr>
            </w:pPr>
            <w:r>
              <w:rPr>
                <w:rFonts w:ascii="宋体" w:hAnsi="宋体" w:eastAsia="宋体" w:cs="宋体"/>
                <w:spacing w:val="6"/>
                <w:sz w:val="20"/>
                <w:szCs w:val="20"/>
              </w:rPr>
              <w:t>批准服务目</w:t>
            </w:r>
            <w:r>
              <w:rPr>
                <w:rFonts w:ascii="宋体" w:hAnsi="宋体" w:eastAsia="宋体" w:cs="宋体"/>
                <w:sz w:val="20"/>
                <w:szCs w:val="20"/>
              </w:rPr>
              <w:t>录</w:t>
            </w:r>
          </w:p>
        </w:tc>
        <w:tc>
          <w:tcPr>
            <w:tcW w:w="1698" w:type="dxa"/>
          </w:tcPr>
          <w:p w14:paraId="0AF2252F">
            <w:pPr>
              <w:keepNext w:val="0"/>
              <w:keepLines w:val="0"/>
              <w:pageBreakBefore w:val="0"/>
              <w:widowControl w:val="0"/>
              <w:kinsoku w:val="0"/>
              <w:wordWrap/>
              <w:overflowPunct/>
              <w:topLinePunct w:val="0"/>
              <w:autoSpaceDE w:val="0"/>
              <w:autoSpaceDN w:val="0"/>
              <w:bidi w:val="0"/>
              <w:adjustRightInd w:val="0"/>
              <w:snapToGrid w:val="0"/>
              <w:spacing w:before="136" w:line="228" w:lineRule="auto"/>
              <w:ind w:left="126"/>
              <w:textAlignment w:val="baseline"/>
              <w:rPr>
                <w:rFonts w:ascii="宋体" w:hAnsi="宋体" w:eastAsia="宋体" w:cs="宋体"/>
                <w:sz w:val="20"/>
                <w:szCs w:val="20"/>
              </w:rPr>
            </w:pPr>
            <w:r>
              <w:rPr>
                <w:rFonts w:ascii="宋体" w:hAnsi="宋体" w:eastAsia="宋体" w:cs="宋体"/>
                <w:spacing w:val="4"/>
                <w:sz w:val="20"/>
                <w:szCs w:val="20"/>
              </w:rPr>
              <w:t>公司副总经理</w:t>
            </w:r>
          </w:p>
        </w:tc>
        <w:tc>
          <w:tcPr>
            <w:tcW w:w="4980" w:type="dxa"/>
          </w:tcPr>
          <w:p w14:paraId="6EF84D18">
            <w:pPr>
              <w:keepNext w:val="0"/>
              <w:keepLines w:val="0"/>
              <w:pageBreakBefore w:val="0"/>
              <w:widowControl w:val="0"/>
              <w:kinsoku w:val="0"/>
              <w:wordWrap/>
              <w:overflowPunct/>
              <w:topLinePunct w:val="0"/>
              <w:autoSpaceDE w:val="0"/>
              <w:autoSpaceDN w:val="0"/>
              <w:bidi w:val="0"/>
              <w:adjustRightInd w:val="0"/>
              <w:snapToGrid w:val="0"/>
              <w:spacing w:before="136" w:line="227" w:lineRule="auto"/>
              <w:ind w:left="117"/>
              <w:textAlignment w:val="baseline"/>
              <w:rPr>
                <w:rFonts w:ascii="宋体" w:hAnsi="宋体" w:eastAsia="宋体" w:cs="宋体"/>
                <w:sz w:val="20"/>
                <w:szCs w:val="20"/>
              </w:rPr>
            </w:pPr>
            <w:r>
              <w:rPr>
                <w:rFonts w:ascii="宋体" w:hAnsi="宋体" w:eastAsia="宋体" w:cs="宋体"/>
                <w:spacing w:val="5"/>
                <w:sz w:val="20"/>
                <w:szCs w:val="20"/>
              </w:rPr>
              <w:t>批准服务目录并对外发布。</w:t>
            </w:r>
          </w:p>
        </w:tc>
      </w:tr>
      <w:tr w14:paraId="368F6B7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6" w:hRule="atLeast"/>
        </w:trPr>
        <w:tc>
          <w:tcPr>
            <w:tcW w:w="1005" w:type="dxa"/>
          </w:tcPr>
          <w:p w14:paraId="61C9E616">
            <w:pPr>
              <w:keepNext w:val="0"/>
              <w:keepLines w:val="0"/>
              <w:pageBreakBefore w:val="0"/>
              <w:widowControl w:val="0"/>
              <w:kinsoku w:val="0"/>
              <w:wordWrap/>
              <w:overflowPunct/>
              <w:topLinePunct w:val="0"/>
              <w:autoSpaceDE w:val="0"/>
              <w:autoSpaceDN w:val="0"/>
              <w:bidi w:val="0"/>
              <w:adjustRightInd w:val="0"/>
              <w:snapToGrid w:val="0"/>
              <w:spacing w:before="188" w:line="268" w:lineRule="exact"/>
              <w:ind w:left="124"/>
              <w:textAlignment w:val="baseline"/>
              <w:rPr>
                <w:rFonts w:ascii="宋体" w:hAnsi="宋体" w:eastAsia="宋体" w:cs="宋体"/>
                <w:sz w:val="20"/>
                <w:szCs w:val="20"/>
              </w:rPr>
            </w:pPr>
            <w:r>
              <w:rPr>
                <w:rFonts w:ascii="宋体" w:hAnsi="宋体" w:eastAsia="宋体" w:cs="宋体"/>
                <w:position w:val="1"/>
                <w:sz w:val="20"/>
                <w:szCs w:val="20"/>
              </w:rPr>
              <w:t>2.1</w:t>
            </w:r>
          </w:p>
        </w:tc>
        <w:tc>
          <w:tcPr>
            <w:tcW w:w="1412" w:type="dxa"/>
          </w:tcPr>
          <w:p w14:paraId="7B93D71F">
            <w:pPr>
              <w:keepNext w:val="0"/>
              <w:keepLines w:val="0"/>
              <w:pageBreakBefore w:val="0"/>
              <w:widowControl w:val="0"/>
              <w:kinsoku w:val="0"/>
              <w:wordWrap/>
              <w:overflowPunct/>
              <w:topLinePunct w:val="0"/>
              <w:autoSpaceDE w:val="0"/>
              <w:autoSpaceDN w:val="0"/>
              <w:bidi w:val="0"/>
              <w:adjustRightInd w:val="0"/>
              <w:snapToGrid w:val="0"/>
              <w:spacing w:before="157" w:line="436" w:lineRule="auto"/>
              <w:ind w:left="109" w:right="260" w:hanging="2"/>
              <w:textAlignment w:val="baseline"/>
              <w:rPr>
                <w:rFonts w:ascii="宋体" w:hAnsi="宋体" w:eastAsia="宋体" w:cs="宋体"/>
                <w:sz w:val="20"/>
                <w:szCs w:val="20"/>
              </w:rPr>
            </w:pPr>
            <w:r>
              <w:rPr>
                <w:rFonts w:ascii="宋体" w:hAnsi="宋体" w:eastAsia="宋体" w:cs="宋体"/>
                <w:spacing w:val="6"/>
                <w:sz w:val="20"/>
                <w:szCs w:val="20"/>
              </w:rPr>
              <w:t>业务影响分</w:t>
            </w:r>
            <w:r>
              <w:rPr>
                <w:rFonts w:ascii="宋体" w:hAnsi="宋体" w:eastAsia="宋体" w:cs="宋体"/>
                <w:sz w:val="20"/>
                <w:szCs w:val="20"/>
              </w:rPr>
              <w:t>析</w:t>
            </w:r>
          </w:p>
        </w:tc>
        <w:tc>
          <w:tcPr>
            <w:tcW w:w="1698" w:type="dxa"/>
          </w:tcPr>
          <w:p w14:paraId="210654F2">
            <w:pPr>
              <w:keepNext w:val="0"/>
              <w:keepLines w:val="0"/>
              <w:pageBreakBefore w:val="0"/>
              <w:widowControl w:val="0"/>
              <w:kinsoku w:val="0"/>
              <w:wordWrap/>
              <w:overflowPunct/>
              <w:topLinePunct w:val="0"/>
              <w:autoSpaceDE w:val="0"/>
              <w:autoSpaceDN w:val="0"/>
              <w:bidi w:val="0"/>
              <w:adjustRightInd w:val="0"/>
              <w:snapToGrid w:val="0"/>
              <w:spacing w:before="140" w:line="228" w:lineRule="auto"/>
              <w:ind w:left="112"/>
              <w:textAlignment w:val="baseline"/>
              <w:rPr>
                <w:rFonts w:ascii="宋体" w:hAnsi="宋体" w:eastAsia="宋体" w:cs="宋体"/>
                <w:sz w:val="20"/>
                <w:szCs w:val="20"/>
              </w:rPr>
            </w:pPr>
            <w:r>
              <w:rPr>
                <w:rFonts w:ascii="宋体" w:hAnsi="宋体" w:eastAsia="宋体" w:cs="宋体"/>
                <w:spacing w:val="6"/>
                <w:sz w:val="20"/>
                <w:szCs w:val="20"/>
              </w:rPr>
              <w:t>服务目录负责人</w:t>
            </w:r>
          </w:p>
        </w:tc>
        <w:tc>
          <w:tcPr>
            <w:tcW w:w="4980" w:type="dxa"/>
          </w:tcPr>
          <w:p w14:paraId="6E89B4F0">
            <w:pPr>
              <w:keepNext w:val="0"/>
              <w:keepLines w:val="0"/>
              <w:pageBreakBefore w:val="0"/>
              <w:widowControl w:val="0"/>
              <w:kinsoku w:val="0"/>
              <w:wordWrap/>
              <w:overflowPunct/>
              <w:topLinePunct w:val="0"/>
              <w:autoSpaceDE w:val="0"/>
              <w:autoSpaceDN w:val="0"/>
              <w:bidi w:val="0"/>
              <w:adjustRightInd w:val="0"/>
              <w:snapToGrid w:val="0"/>
              <w:spacing w:before="157" w:line="381" w:lineRule="auto"/>
              <w:ind w:left="118" w:right="246"/>
              <w:jc w:val="both"/>
              <w:textAlignment w:val="baseline"/>
              <w:rPr>
                <w:rFonts w:ascii="宋体" w:hAnsi="宋体" w:eastAsia="宋体" w:cs="宋体"/>
                <w:sz w:val="20"/>
                <w:szCs w:val="20"/>
              </w:rPr>
            </w:pPr>
            <w:r>
              <w:rPr>
                <w:rFonts w:ascii="宋体" w:hAnsi="宋体" w:eastAsia="宋体" w:cs="宋体"/>
                <w:spacing w:val="9"/>
                <w:sz w:val="20"/>
                <w:szCs w:val="20"/>
              </w:rPr>
              <w:t>服务目录负责人根据组织内外部环境，相关法律法规、客户需求、组织能力水平开展业务影响分析，</w:t>
            </w:r>
            <w:r>
              <w:rPr>
                <w:rFonts w:ascii="宋体" w:hAnsi="宋体" w:eastAsia="宋体" w:cs="宋体"/>
                <w:spacing w:val="6"/>
                <w:sz w:val="20"/>
                <w:szCs w:val="20"/>
              </w:rPr>
              <w:t>确定服务目录是否能满足业务需求。</w:t>
            </w:r>
          </w:p>
        </w:tc>
      </w:tr>
      <w:tr w14:paraId="077A9E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40" w:hRule="atLeast"/>
        </w:trPr>
        <w:tc>
          <w:tcPr>
            <w:tcW w:w="1005" w:type="dxa"/>
          </w:tcPr>
          <w:p w14:paraId="21485531">
            <w:pPr>
              <w:keepNext w:val="0"/>
              <w:keepLines w:val="0"/>
              <w:pageBreakBefore w:val="0"/>
              <w:widowControl w:val="0"/>
              <w:kinsoku w:val="0"/>
              <w:wordWrap/>
              <w:overflowPunct/>
              <w:topLinePunct w:val="0"/>
              <w:autoSpaceDE w:val="0"/>
              <w:autoSpaceDN w:val="0"/>
              <w:bidi w:val="0"/>
              <w:adjustRightInd w:val="0"/>
              <w:snapToGrid w:val="0"/>
              <w:spacing w:before="190" w:line="268" w:lineRule="exact"/>
              <w:ind w:left="124"/>
              <w:textAlignment w:val="baseline"/>
              <w:rPr>
                <w:rFonts w:ascii="宋体" w:hAnsi="宋体" w:eastAsia="宋体" w:cs="宋体"/>
                <w:sz w:val="20"/>
                <w:szCs w:val="20"/>
              </w:rPr>
            </w:pPr>
            <w:r>
              <w:rPr>
                <w:rFonts w:ascii="宋体" w:hAnsi="宋体" w:eastAsia="宋体" w:cs="宋体"/>
                <w:position w:val="1"/>
                <w:sz w:val="20"/>
                <w:szCs w:val="20"/>
              </w:rPr>
              <w:t>2.2</w:t>
            </w:r>
          </w:p>
        </w:tc>
        <w:tc>
          <w:tcPr>
            <w:tcW w:w="1412" w:type="dxa"/>
          </w:tcPr>
          <w:p w14:paraId="7BBD0DE1">
            <w:pPr>
              <w:keepNext w:val="0"/>
              <w:keepLines w:val="0"/>
              <w:pageBreakBefore w:val="0"/>
              <w:widowControl w:val="0"/>
              <w:kinsoku w:val="0"/>
              <w:wordWrap/>
              <w:overflowPunct/>
              <w:topLinePunct w:val="0"/>
              <w:autoSpaceDE w:val="0"/>
              <w:autoSpaceDN w:val="0"/>
              <w:bidi w:val="0"/>
              <w:adjustRightInd w:val="0"/>
              <w:snapToGrid w:val="0"/>
              <w:spacing w:before="162" w:line="433" w:lineRule="auto"/>
              <w:ind w:left="108" w:right="260"/>
              <w:textAlignment w:val="baseline"/>
              <w:rPr>
                <w:rFonts w:ascii="宋体" w:hAnsi="宋体" w:eastAsia="宋体" w:cs="宋体"/>
                <w:sz w:val="20"/>
                <w:szCs w:val="20"/>
              </w:rPr>
            </w:pPr>
            <w:r>
              <w:rPr>
                <w:rFonts w:ascii="宋体" w:hAnsi="宋体" w:eastAsia="宋体" w:cs="宋体"/>
                <w:spacing w:val="6"/>
                <w:sz w:val="20"/>
                <w:szCs w:val="20"/>
              </w:rPr>
              <w:t>确定服务目录能否满足</w:t>
            </w:r>
          </w:p>
        </w:tc>
        <w:tc>
          <w:tcPr>
            <w:tcW w:w="1698" w:type="dxa"/>
          </w:tcPr>
          <w:p w14:paraId="259E0FA0">
            <w:pPr>
              <w:keepNext w:val="0"/>
              <w:keepLines w:val="0"/>
              <w:pageBreakBefore w:val="0"/>
              <w:widowControl w:val="0"/>
              <w:kinsoku w:val="0"/>
              <w:wordWrap/>
              <w:overflowPunct/>
              <w:topLinePunct w:val="0"/>
              <w:autoSpaceDE w:val="0"/>
              <w:autoSpaceDN w:val="0"/>
              <w:bidi w:val="0"/>
              <w:adjustRightInd w:val="0"/>
              <w:snapToGrid w:val="0"/>
              <w:spacing w:before="142" w:line="228" w:lineRule="auto"/>
              <w:ind w:left="112"/>
              <w:textAlignment w:val="baseline"/>
              <w:rPr>
                <w:rFonts w:ascii="宋体" w:hAnsi="宋体" w:eastAsia="宋体" w:cs="宋体"/>
                <w:sz w:val="20"/>
                <w:szCs w:val="20"/>
              </w:rPr>
            </w:pPr>
            <w:r>
              <w:rPr>
                <w:rFonts w:ascii="宋体" w:hAnsi="宋体" w:eastAsia="宋体" w:cs="宋体"/>
                <w:spacing w:val="6"/>
                <w:sz w:val="20"/>
                <w:szCs w:val="20"/>
              </w:rPr>
              <w:t>服务目录负责人</w:t>
            </w:r>
          </w:p>
        </w:tc>
        <w:tc>
          <w:tcPr>
            <w:tcW w:w="4980" w:type="dxa"/>
          </w:tcPr>
          <w:p w14:paraId="5440569D">
            <w:pPr>
              <w:keepNext w:val="0"/>
              <w:keepLines w:val="0"/>
              <w:pageBreakBefore w:val="0"/>
              <w:widowControl w:val="0"/>
              <w:kinsoku w:val="0"/>
              <w:wordWrap/>
              <w:overflowPunct/>
              <w:topLinePunct w:val="0"/>
              <w:autoSpaceDE w:val="0"/>
              <w:autoSpaceDN w:val="0"/>
              <w:bidi w:val="0"/>
              <w:adjustRightInd w:val="0"/>
              <w:snapToGrid w:val="0"/>
              <w:spacing w:before="163" w:line="400" w:lineRule="auto"/>
              <w:ind w:left="118" w:right="244"/>
              <w:jc w:val="both"/>
              <w:textAlignment w:val="baseline"/>
              <w:rPr>
                <w:rFonts w:ascii="宋体" w:hAnsi="宋体" w:eastAsia="宋体" w:cs="宋体"/>
                <w:sz w:val="20"/>
                <w:szCs w:val="20"/>
              </w:rPr>
            </w:pPr>
            <w:r>
              <w:rPr>
                <w:rFonts w:ascii="宋体" w:hAnsi="宋体" w:eastAsia="宋体" w:cs="宋体"/>
                <w:spacing w:val="9"/>
                <w:sz w:val="20"/>
                <w:szCs w:val="20"/>
              </w:rPr>
              <w:t>服务目录负责人协调运维部对服务目录进行评审。如服务目录能够满足新业务和内部</w:t>
            </w:r>
            <w:r>
              <w:rPr>
                <w:rFonts w:ascii="宋体" w:hAnsi="宋体" w:eastAsia="宋体" w:cs="宋体"/>
                <w:spacing w:val="6"/>
                <w:sz w:val="20"/>
                <w:szCs w:val="20"/>
              </w:rPr>
              <w:t>管理，则转入活动 2.3“批准服务目录</w:t>
            </w:r>
            <w:r>
              <w:rPr>
                <w:rFonts w:ascii="宋体" w:hAnsi="宋体" w:eastAsia="宋体" w:cs="宋体"/>
                <w:spacing w:val="-38"/>
                <w:sz w:val="20"/>
                <w:szCs w:val="20"/>
              </w:rPr>
              <w:t xml:space="preserve"> </w:t>
            </w:r>
            <w:r>
              <w:rPr>
                <w:rFonts w:ascii="宋体" w:hAnsi="宋体" w:eastAsia="宋体" w:cs="宋体"/>
                <w:spacing w:val="6"/>
                <w:sz w:val="20"/>
                <w:szCs w:val="20"/>
              </w:rPr>
              <w:t>”，如无法</w:t>
            </w:r>
            <w:r>
              <w:rPr>
                <w:rFonts w:ascii="宋体" w:hAnsi="宋体" w:eastAsia="宋体" w:cs="宋体"/>
                <w:spacing w:val="9"/>
                <w:sz w:val="20"/>
                <w:szCs w:val="20"/>
              </w:rPr>
              <w:t>满足业务需求，则转入活动</w:t>
            </w:r>
            <w:r>
              <w:rPr>
                <w:rFonts w:ascii="宋体" w:hAnsi="宋体" w:eastAsia="宋体" w:cs="宋体"/>
                <w:spacing w:val="-4"/>
                <w:sz w:val="20"/>
                <w:szCs w:val="20"/>
              </w:rPr>
              <w:t xml:space="preserve"> </w:t>
            </w:r>
            <w:r>
              <w:rPr>
                <w:rFonts w:ascii="宋体" w:hAnsi="宋体" w:eastAsia="宋体" w:cs="宋体"/>
                <w:spacing w:val="9"/>
                <w:sz w:val="20"/>
                <w:szCs w:val="20"/>
              </w:rPr>
              <w:t>2.4“接收新服务项与</w:t>
            </w:r>
            <w:r>
              <w:rPr>
                <w:rFonts w:ascii="宋体" w:hAnsi="宋体" w:eastAsia="宋体" w:cs="宋体"/>
                <w:spacing w:val="4"/>
                <w:sz w:val="20"/>
                <w:szCs w:val="20"/>
              </w:rPr>
              <w:t>需求</w:t>
            </w:r>
            <w:r>
              <w:rPr>
                <w:rFonts w:ascii="宋体" w:hAnsi="宋体" w:eastAsia="宋体" w:cs="宋体"/>
                <w:spacing w:val="-46"/>
                <w:sz w:val="20"/>
                <w:szCs w:val="20"/>
              </w:rPr>
              <w:t xml:space="preserve"> </w:t>
            </w:r>
            <w:r>
              <w:rPr>
                <w:rFonts w:ascii="宋体" w:hAnsi="宋体" w:eastAsia="宋体" w:cs="宋体"/>
                <w:spacing w:val="4"/>
                <w:sz w:val="20"/>
                <w:szCs w:val="20"/>
              </w:rPr>
              <w:t>”。</w:t>
            </w:r>
          </w:p>
        </w:tc>
      </w:tr>
      <w:tr w14:paraId="333A02B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8" w:hRule="atLeast"/>
        </w:trPr>
        <w:tc>
          <w:tcPr>
            <w:tcW w:w="1005" w:type="dxa"/>
          </w:tcPr>
          <w:p w14:paraId="0E3598A3">
            <w:pPr>
              <w:keepNext w:val="0"/>
              <w:keepLines w:val="0"/>
              <w:pageBreakBefore w:val="0"/>
              <w:widowControl w:val="0"/>
              <w:kinsoku w:val="0"/>
              <w:wordWrap/>
              <w:overflowPunct/>
              <w:topLinePunct w:val="0"/>
              <w:autoSpaceDE w:val="0"/>
              <w:autoSpaceDN w:val="0"/>
              <w:bidi w:val="0"/>
              <w:adjustRightInd w:val="0"/>
              <w:snapToGrid w:val="0"/>
              <w:spacing w:before="195" w:line="267" w:lineRule="exact"/>
              <w:ind w:left="124"/>
              <w:textAlignment w:val="baseline"/>
              <w:rPr>
                <w:rFonts w:ascii="宋体" w:hAnsi="宋体" w:eastAsia="宋体" w:cs="宋体"/>
                <w:sz w:val="20"/>
                <w:szCs w:val="20"/>
              </w:rPr>
            </w:pPr>
            <w:r>
              <w:rPr>
                <w:rFonts w:ascii="宋体" w:hAnsi="宋体" w:eastAsia="宋体" w:cs="宋体"/>
                <w:position w:val="1"/>
                <w:sz w:val="20"/>
                <w:szCs w:val="20"/>
              </w:rPr>
              <w:t>2.3</w:t>
            </w:r>
          </w:p>
        </w:tc>
        <w:tc>
          <w:tcPr>
            <w:tcW w:w="1412" w:type="dxa"/>
          </w:tcPr>
          <w:p w14:paraId="49E3BB89">
            <w:pPr>
              <w:keepNext w:val="0"/>
              <w:keepLines w:val="0"/>
              <w:pageBreakBefore w:val="0"/>
              <w:widowControl w:val="0"/>
              <w:kinsoku w:val="0"/>
              <w:wordWrap/>
              <w:overflowPunct/>
              <w:topLinePunct w:val="0"/>
              <w:autoSpaceDE w:val="0"/>
              <w:autoSpaceDN w:val="0"/>
              <w:bidi w:val="0"/>
              <w:adjustRightInd w:val="0"/>
              <w:snapToGrid w:val="0"/>
              <w:spacing w:before="167" w:line="351" w:lineRule="auto"/>
              <w:ind w:left="108" w:right="260" w:hanging="1"/>
              <w:textAlignment w:val="baseline"/>
              <w:rPr>
                <w:rFonts w:ascii="宋体" w:hAnsi="宋体" w:eastAsia="宋体" w:cs="宋体"/>
                <w:sz w:val="20"/>
                <w:szCs w:val="20"/>
              </w:rPr>
            </w:pPr>
            <w:r>
              <w:rPr>
                <w:rFonts w:ascii="宋体" w:hAnsi="宋体" w:eastAsia="宋体" w:cs="宋体"/>
                <w:spacing w:val="6"/>
                <w:sz w:val="20"/>
                <w:szCs w:val="20"/>
              </w:rPr>
              <w:t>批准服务目</w:t>
            </w:r>
            <w:r>
              <w:rPr>
                <w:rFonts w:ascii="宋体" w:hAnsi="宋体" w:eastAsia="宋体" w:cs="宋体"/>
                <w:sz w:val="20"/>
                <w:szCs w:val="20"/>
              </w:rPr>
              <w:t>录</w:t>
            </w:r>
          </w:p>
        </w:tc>
        <w:tc>
          <w:tcPr>
            <w:tcW w:w="1698" w:type="dxa"/>
          </w:tcPr>
          <w:p w14:paraId="11FE22E3">
            <w:pPr>
              <w:keepNext w:val="0"/>
              <w:keepLines w:val="0"/>
              <w:pageBreakBefore w:val="0"/>
              <w:widowControl w:val="0"/>
              <w:kinsoku w:val="0"/>
              <w:wordWrap/>
              <w:overflowPunct/>
              <w:topLinePunct w:val="0"/>
              <w:autoSpaceDE w:val="0"/>
              <w:autoSpaceDN w:val="0"/>
              <w:bidi w:val="0"/>
              <w:adjustRightInd w:val="0"/>
              <w:snapToGrid w:val="0"/>
              <w:spacing w:before="146" w:line="228" w:lineRule="auto"/>
              <w:ind w:left="126"/>
              <w:textAlignment w:val="baseline"/>
              <w:rPr>
                <w:rFonts w:ascii="宋体" w:hAnsi="宋体" w:eastAsia="宋体" w:cs="宋体"/>
                <w:sz w:val="20"/>
                <w:szCs w:val="20"/>
              </w:rPr>
            </w:pPr>
            <w:r>
              <w:rPr>
                <w:rFonts w:ascii="宋体" w:hAnsi="宋体" w:eastAsia="宋体" w:cs="宋体"/>
                <w:spacing w:val="4"/>
                <w:sz w:val="20"/>
                <w:szCs w:val="20"/>
              </w:rPr>
              <w:t>公司副总经理</w:t>
            </w:r>
          </w:p>
        </w:tc>
        <w:tc>
          <w:tcPr>
            <w:tcW w:w="4980" w:type="dxa"/>
          </w:tcPr>
          <w:p w14:paraId="32053705">
            <w:pPr>
              <w:keepNext w:val="0"/>
              <w:keepLines w:val="0"/>
              <w:pageBreakBefore w:val="0"/>
              <w:widowControl w:val="0"/>
              <w:kinsoku w:val="0"/>
              <w:wordWrap/>
              <w:overflowPunct/>
              <w:topLinePunct w:val="0"/>
              <w:autoSpaceDE w:val="0"/>
              <w:autoSpaceDN w:val="0"/>
              <w:bidi w:val="0"/>
              <w:adjustRightInd w:val="0"/>
              <w:snapToGrid w:val="0"/>
              <w:spacing w:before="147" w:line="227" w:lineRule="auto"/>
              <w:ind w:left="117"/>
              <w:textAlignment w:val="baseline"/>
              <w:rPr>
                <w:rFonts w:ascii="宋体" w:hAnsi="宋体" w:eastAsia="宋体" w:cs="宋体"/>
                <w:sz w:val="20"/>
                <w:szCs w:val="20"/>
              </w:rPr>
            </w:pPr>
            <w:r>
              <w:rPr>
                <w:rFonts w:ascii="宋体" w:hAnsi="宋体" w:eastAsia="宋体" w:cs="宋体"/>
                <w:spacing w:val="5"/>
                <w:sz w:val="20"/>
                <w:szCs w:val="20"/>
              </w:rPr>
              <w:t>批准服务目录并对外发布。</w:t>
            </w:r>
          </w:p>
        </w:tc>
      </w:tr>
      <w:tr w14:paraId="7ECF976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06" w:hRule="atLeast"/>
        </w:trPr>
        <w:tc>
          <w:tcPr>
            <w:tcW w:w="1005" w:type="dxa"/>
          </w:tcPr>
          <w:p w14:paraId="6F72EE01">
            <w:pPr>
              <w:keepNext w:val="0"/>
              <w:keepLines w:val="0"/>
              <w:pageBreakBefore w:val="0"/>
              <w:widowControl w:val="0"/>
              <w:kinsoku w:val="0"/>
              <w:wordWrap/>
              <w:overflowPunct/>
              <w:topLinePunct w:val="0"/>
              <w:autoSpaceDE w:val="0"/>
              <w:autoSpaceDN w:val="0"/>
              <w:bidi w:val="0"/>
              <w:adjustRightInd w:val="0"/>
              <w:snapToGrid w:val="0"/>
              <w:spacing w:before="197" w:line="268" w:lineRule="exact"/>
              <w:ind w:left="124"/>
              <w:textAlignment w:val="baseline"/>
              <w:rPr>
                <w:rFonts w:ascii="宋体" w:hAnsi="宋体" w:eastAsia="宋体" w:cs="宋体"/>
                <w:sz w:val="20"/>
                <w:szCs w:val="20"/>
              </w:rPr>
            </w:pPr>
            <w:r>
              <w:rPr>
                <w:rFonts w:ascii="宋体" w:hAnsi="宋体" w:eastAsia="宋体" w:cs="宋体"/>
                <w:position w:val="1"/>
                <w:sz w:val="20"/>
                <w:szCs w:val="20"/>
              </w:rPr>
              <w:t>2.4</w:t>
            </w:r>
          </w:p>
        </w:tc>
        <w:tc>
          <w:tcPr>
            <w:tcW w:w="1412" w:type="dxa"/>
          </w:tcPr>
          <w:p w14:paraId="68B8AE09">
            <w:pPr>
              <w:keepNext w:val="0"/>
              <w:keepLines w:val="0"/>
              <w:pageBreakBefore w:val="0"/>
              <w:widowControl w:val="0"/>
              <w:kinsoku w:val="0"/>
              <w:wordWrap/>
              <w:overflowPunct/>
              <w:topLinePunct w:val="0"/>
              <w:autoSpaceDE w:val="0"/>
              <w:autoSpaceDN w:val="0"/>
              <w:bidi w:val="0"/>
              <w:adjustRightInd w:val="0"/>
              <w:snapToGrid w:val="0"/>
              <w:spacing w:before="152" w:line="228" w:lineRule="auto"/>
              <w:ind w:left="107"/>
              <w:textAlignment w:val="baseline"/>
              <w:rPr>
                <w:rFonts w:ascii="宋体" w:hAnsi="宋体" w:eastAsia="宋体" w:cs="宋体"/>
                <w:sz w:val="20"/>
                <w:szCs w:val="20"/>
              </w:rPr>
            </w:pPr>
            <w:r>
              <w:rPr>
                <w:rFonts w:ascii="宋体" w:hAnsi="宋体" w:eastAsia="宋体" w:cs="宋体"/>
                <w:spacing w:val="6"/>
                <w:sz w:val="20"/>
                <w:szCs w:val="20"/>
              </w:rPr>
              <w:t>接受与定义</w:t>
            </w:r>
          </w:p>
          <w:p w14:paraId="0A45CE3B">
            <w:pPr>
              <w:keepNext w:val="0"/>
              <w:keepLines w:val="0"/>
              <w:pageBreakBefore w:val="0"/>
              <w:widowControl w:val="0"/>
              <w:kinsoku w:val="0"/>
              <w:wordWrap/>
              <w:overflowPunct/>
              <w:topLinePunct w:val="0"/>
              <w:autoSpaceDE w:val="0"/>
              <w:autoSpaceDN w:val="0"/>
              <w:bidi w:val="0"/>
              <w:adjustRightInd w:val="0"/>
              <w:snapToGrid w:val="0"/>
              <w:spacing w:before="215" w:line="228" w:lineRule="auto"/>
              <w:ind w:left="108"/>
              <w:textAlignment w:val="baseline"/>
              <w:rPr>
                <w:rFonts w:ascii="宋体" w:hAnsi="宋体" w:eastAsia="宋体" w:cs="宋体"/>
                <w:sz w:val="20"/>
                <w:szCs w:val="20"/>
              </w:rPr>
            </w:pPr>
            <w:r>
              <w:rPr>
                <w:rFonts w:ascii="宋体" w:hAnsi="宋体" w:eastAsia="宋体" w:cs="宋体"/>
                <w:spacing w:val="6"/>
                <w:sz w:val="20"/>
                <w:szCs w:val="20"/>
              </w:rPr>
              <w:t>服务项和服</w:t>
            </w:r>
          </w:p>
          <w:p w14:paraId="7EBECFFC">
            <w:pPr>
              <w:keepNext w:val="0"/>
              <w:keepLines w:val="0"/>
              <w:pageBreakBefore w:val="0"/>
              <w:widowControl w:val="0"/>
              <w:kinsoku w:val="0"/>
              <w:wordWrap/>
              <w:overflowPunct/>
              <w:topLinePunct w:val="0"/>
              <w:autoSpaceDE w:val="0"/>
              <w:autoSpaceDN w:val="0"/>
              <w:bidi w:val="0"/>
              <w:adjustRightInd w:val="0"/>
              <w:snapToGrid w:val="0"/>
              <w:spacing w:before="220" w:line="228" w:lineRule="auto"/>
              <w:ind w:left="112"/>
              <w:textAlignment w:val="baseline"/>
              <w:rPr>
                <w:rFonts w:ascii="宋体" w:hAnsi="宋体" w:eastAsia="宋体" w:cs="宋体"/>
                <w:sz w:val="20"/>
                <w:szCs w:val="20"/>
              </w:rPr>
            </w:pPr>
            <w:r>
              <w:rPr>
                <w:rFonts w:ascii="宋体" w:hAnsi="宋体" w:eastAsia="宋体" w:cs="宋体"/>
                <w:spacing w:val="6"/>
                <w:sz w:val="20"/>
                <w:szCs w:val="20"/>
              </w:rPr>
              <w:t>务级别需求</w:t>
            </w:r>
          </w:p>
        </w:tc>
        <w:tc>
          <w:tcPr>
            <w:tcW w:w="1698" w:type="dxa"/>
          </w:tcPr>
          <w:p w14:paraId="404BC172">
            <w:pPr>
              <w:keepNext w:val="0"/>
              <w:keepLines w:val="0"/>
              <w:pageBreakBefore w:val="0"/>
              <w:widowControl w:val="0"/>
              <w:kinsoku w:val="0"/>
              <w:wordWrap/>
              <w:overflowPunct/>
              <w:topLinePunct w:val="0"/>
              <w:autoSpaceDE w:val="0"/>
              <w:autoSpaceDN w:val="0"/>
              <w:bidi w:val="0"/>
              <w:adjustRightInd w:val="0"/>
              <w:snapToGrid w:val="0"/>
              <w:spacing w:before="149" w:line="228" w:lineRule="auto"/>
              <w:ind w:left="112"/>
              <w:textAlignment w:val="baseline"/>
              <w:rPr>
                <w:rFonts w:ascii="宋体" w:hAnsi="宋体" w:eastAsia="宋体" w:cs="宋体"/>
                <w:sz w:val="20"/>
                <w:szCs w:val="20"/>
              </w:rPr>
            </w:pPr>
            <w:r>
              <w:rPr>
                <w:rFonts w:ascii="宋体" w:hAnsi="宋体" w:eastAsia="宋体" w:cs="宋体"/>
                <w:spacing w:val="6"/>
                <w:sz w:val="20"/>
                <w:szCs w:val="20"/>
              </w:rPr>
              <w:t>服务目录负责人</w:t>
            </w:r>
          </w:p>
        </w:tc>
        <w:tc>
          <w:tcPr>
            <w:tcW w:w="4980" w:type="dxa"/>
          </w:tcPr>
          <w:p w14:paraId="24F551E9">
            <w:pPr>
              <w:keepNext w:val="0"/>
              <w:keepLines w:val="0"/>
              <w:pageBreakBefore w:val="0"/>
              <w:widowControl w:val="0"/>
              <w:kinsoku w:val="0"/>
              <w:wordWrap/>
              <w:overflowPunct/>
              <w:topLinePunct w:val="0"/>
              <w:autoSpaceDE w:val="0"/>
              <w:autoSpaceDN w:val="0"/>
              <w:bidi w:val="0"/>
              <w:adjustRightInd w:val="0"/>
              <w:snapToGrid w:val="0"/>
              <w:spacing w:before="149" w:line="228" w:lineRule="auto"/>
              <w:ind w:left="118"/>
              <w:textAlignment w:val="baseline"/>
              <w:rPr>
                <w:rFonts w:ascii="宋体" w:hAnsi="宋体" w:eastAsia="宋体" w:cs="宋体"/>
                <w:sz w:val="20"/>
                <w:szCs w:val="20"/>
              </w:rPr>
            </w:pPr>
            <w:r>
              <w:rPr>
                <w:rFonts w:ascii="宋体" w:hAnsi="宋体" w:eastAsia="宋体" w:cs="宋体"/>
                <w:spacing w:val="7"/>
                <w:sz w:val="20"/>
                <w:szCs w:val="20"/>
              </w:rPr>
              <w:t>服务目录负责人调整服务目录内容并确认后。</w:t>
            </w:r>
          </w:p>
        </w:tc>
      </w:tr>
      <w:tr w14:paraId="62DC60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39" w:hRule="atLeast"/>
        </w:trPr>
        <w:tc>
          <w:tcPr>
            <w:tcW w:w="1005" w:type="dxa"/>
          </w:tcPr>
          <w:p w14:paraId="211911BA">
            <w:pPr>
              <w:keepNext w:val="0"/>
              <w:keepLines w:val="0"/>
              <w:pageBreakBefore w:val="0"/>
              <w:widowControl w:val="0"/>
              <w:kinsoku w:val="0"/>
              <w:wordWrap/>
              <w:overflowPunct/>
              <w:topLinePunct w:val="0"/>
              <w:autoSpaceDE w:val="0"/>
              <w:autoSpaceDN w:val="0"/>
              <w:bidi w:val="0"/>
              <w:adjustRightInd w:val="0"/>
              <w:snapToGrid w:val="0"/>
              <w:spacing w:before="196"/>
              <w:ind w:left="125"/>
              <w:textAlignment w:val="baseline"/>
              <w:rPr>
                <w:rFonts w:ascii="宋体" w:hAnsi="宋体" w:eastAsia="宋体" w:cs="宋体"/>
                <w:sz w:val="22"/>
                <w:szCs w:val="22"/>
              </w:rPr>
            </w:pPr>
            <w:r>
              <w:rPr>
                <w:rFonts w:ascii="宋体" w:hAnsi="宋体" w:eastAsia="宋体" w:cs="宋体"/>
                <w:spacing w:val="-5"/>
                <w:sz w:val="22"/>
                <w:szCs w:val="22"/>
              </w:rPr>
              <w:t>2.5</w:t>
            </w:r>
          </w:p>
        </w:tc>
        <w:tc>
          <w:tcPr>
            <w:tcW w:w="1412" w:type="dxa"/>
          </w:tcPr>
          <w:p w14:paraId="71FECFE0">
            <w:pPr>
              <w:keepNext w:val="0"/>
              <w:keepLines w:val="0"/>
              <w:pageBreakBefore w:val="0"/>
              <w:widowControl w:val="0"/>
              <w:kinsoku w:val="0"/>
              <w:wordWrap/>
              <w:overflowPunct/>
              <w:topLinePunct w:val="0"/>
              <w:autoSpaceDE w:val="0"/>
              <w:autoSpaceDN w:val="0"/>
              <w:bidi w:val="0"/>
              <w:adjustRightInd w:val="0"/>
              <w:snapToGrid w:val="0"/>
              <w:spacing w:before="168" w:line="319" w:lineRule="auto"/>
              <w:ind w:left="109" w:right="212"/>
              <w:textAlignment w:val="baseline"/>
              <w:rPr>
                <w:rFonts w:ascii="宋体" w:hAnsi="宋体" w:eastAsia="宋体" w:cs="宋体"/>
                <w:sz w:val="22"/>
                <w:szCs w:val="22"/>
              </w:rPr>
            </w:pPr>
            <w:r>
              <w:rPr>
                <w:rFonts w:ascii="宋体" w:hAnsi="宋体" w:eastAsia="宋体" w:cs="宋体"/>
                <w:spacing w:val="-5"/>
                <w:sz w:val="22"/>
                <w:szCs w:val="22"/>
              </w:rPr>
              <w:t>调整服务目</w:t>
            </w:r>
            <w:r>
              <w:rPr>
                <w:rFonts w:ascii="宋体" w:hAnsi="宋体" w:eastAsia="宋体" w:cs="宋体"/>
                <w:sz w:val="22"/>
                <w:szCs w:val="22"/>
              </w:rPr>
              <w:t>录</w:t>
            </w:r>
          </w:p>
        </w:tc>
        <w:tc>
          <w:tcPr>
            <w:tcW w:w="1698" w:type="dxa"/>
          </w:tcPr>
          <w:p w14:paraId="08E2583F">
            <w:pPr>
              <w:keepNext w:val="0"/>
              <w:keepLines w:val="0"/>
              <w:pageBreakBefore w:val="0"/>
              <w:widowControl w:val="0"/>
              <w:kinsoku w:val="0"/>
              <w:wordWrap/>
              <w:overflowPunct/>
              <w:topLinePunct w:val="0"/>
              <w:autoSpaceDE w:val="0"/>
              <w:autoSpaceDN w:val="0"/>
              <w:bidi w:val="0"/>
              <w:adjustRightInd w:val="0"/>
              <w:snapToGrid w:val="0"/>
              <w:spacing w:before="168" w:line="319" w:lineRule="auto"/>
              <w:ind w:left="116" w:right="270" w:hanging="1"/>
              <w:textAlignment w:val="baseline"/>
              <w:rPr>
                <w:rFonts w:ascii="宋体" w:hAnsi="宋体" w:eastAsia="宋体" w:cs="宋体"/>
                <w:sz w:val="22"/>
                <w:szCs w:val="22"/>
              </w:rPr>
            </w:pPr>
            <w:r>
              <w:rPr>
                <w:rFonts w:ascii="宋体" w:hAnsi="宋体" w:eastAsia="宋体" w:cs="宋体"/>
                <w:spacing w:val="-4"/>
                <w:sz w:val="22"/>
                <w:szCs w:val="22"/>
              </w:rPr>
              <w:t>服务目录负责</w:t>
            </w:r>
            <w:r>
              <w:rPr>
                <w:rFonts w:ascii="宋体" w:hAnsi="宋体" w:eastAsia="宋体" w:cs="宋体"/>
                <w:sz w:val="22"/>
                <w:szCs w:val="22"/>
              </w:rPr>
              <w:t>人</w:t>
            </w:r>
          </w:p>
        </w:tc>
        <w:tc>
          <w:tcPr>
            <w:tcW w:w="4980" w:type="dxa"/>
          </w:tcPr>
          <w:p w14:paraId="601C891C">
            <w:pPr>
              <w:keepNext w:val="0"/>
              <w:keepLines w:val="0"/>
              <w:pageBreakBefore w:val="0"/>
              <w:widowControl w:val="0"/>
              <w:kinsoku w:val="0"/>
              <w:wordWrap/>
              <w:overflowPunct/>
              <w:topLinePunct w:val="0"/>
              <w:autoSpaceDE w:val="0"/>
              <w:autoSpaceDN w:val="0"/>
              <w:bidi w:val="0"/>
              <w:adjustRightInd w:val="0"/>
              <w:snapToGrid w:val="0"/>
              <w:spacing w:before="168" w:line="319" w:lineRule="auto"/>
              <w:ind w:left="118" w:right="126" w:firstLine="8"/>
              <w:textAlignment w:val="baseline"/>
              <w:rPr>
                <w:rFonts w:ascii="宋体" w:hAnsi="宋体" w:eastAsia="宋体" w:cs="宋体"/>
                <w:sz w:val="22"/>
                <w:szCs w:val="22"/>
              </w:rPr>
            </w:pPr>
            <w:r>
              <w:rPr>
                <w:rFonts w:ascii="宋体" w:hAnsi="宋体" w:eastAsia="宋体" w:cs="宋体"/>
                <w:spacing w:val="-6"/>
                <w:sz w:val="22"/>
                <w:szCs w:val="22"/>
              </w:rPr>
              <w:t>如现有服务目录不能满足新业务和内部管理需求，</w:t>
            </w:r>
            <w:r>
              <w:rPr>
                <w:rFonts w:ascii="宋体" w:hAnsi="宋体" w:eastAsia="宋体" w:cs="宋体"/>
                <w:spacing w:val="-4"/>
                <w:sz w:val="22"/>
                <w:szCs w:val="22"/>
              </w:rPr>
              <w:t>服务级别经理重新定义服务项内容。</w:t>
            </w:r>
          </w:p>
        </w:tc>
      </w:tr>
      <w:tr w14:paraId="160D5D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53" w:hRule="atLeast"/>
        </w:trPr>
        <w:tc>
          <w:tcPr>
            <w:tcW w:w="1005" w:type="dxa"/>
          </w:tcPr>
          <w:p w14:paraId="29E80206">
            <w:pPr>
              <w:keepNext w:val="0"/>
              <w:keepLines w:val="0"/>
              <w:pageBreakBefore w:val="0"/>
              <w:widowControl w:val="0"/>
              <w:kinsoku w:val="0"/>
              <w:wordWrap/>
              <w:overflowPunct/>
              <w:topLinePunct w:val="0"/>
              <w:autoSpaceDE w:val="0"/>
              <w:autoSpaceDN w:val="0"/>
              <w:bidi w:val="0"/>
              <w:adjustRightInd w:val="0"/>
              <w:snapToGrid w:val="0"/>
              <w:spacing w:before="200"/>
              <w:ind w:left="125"/>
              <w:textAlignment w:val="baseline"/>
              <w:rPr>
                <w:rFonts w:ascii="宋体" w:hAnsi="宋体" w:eastAsia="宋体" w:cs="宋体"/>
                <w:sz w:val="22"/>
                <w:szCs w:val="22"/>
              </w:rPr>
            </w:pPr>
            <w:r>
              <w:rPr>
                <w:rFonts w:ascii="宋体" w:hAnsi="宋体" w:eastAsia="宋体" w:cs="宋体"/>
                <w:spacing w:val="-5"/>
                <w:sz w:val="22"/>
                <w:szCs w:val="22"/>
              </w:rPr>
              <w:t>2.6</w:t>
            </w:r>
          </w:p>
        </w:tc>
        <w:tc>
          <w:tcPr>
            <w:tcW w:w="1412" w:type="dxa"/>
          </w:tcPr>
          <w:p w14:paraId="4706EFC0">
            <w:pPr>
              <w:keepNext w:val="0"/>
              <w:keepLines w:val="0"/>
              <w:pageBreakBefore w:val="0"/>
              <w:widowControl w:val="0"/>
              <w:kinsoku w:val="0"/>
              <w:wordWrap/>
              <w:overflowPunct/>
              <w:topLinePunct w:val="0"/>
              <w:autoSpaceDE w:val="0"/>
              <w:autoSpaceDN w:val="0"/>
              <w:bidi w:val="0"/>
              <w:adjustRightInd w:val="0"/>
              <w:snapToGrid w:val="0"/>
              <w:spacing w:before="170" w:line="324" w:lineRule="auto"/>
              <w:ind w:left="107" w:right="209"/>
              <w:textAlignment w:val="baseline"/>
              <w:rPr>
                <w:rFonts w:ascii="宋体" w:hAnsi="宋体" w:eastAsia="宋体" w:cs="宋体"/>
                <w:sz w:val="22"/>
                <w:szCs w:val="22"/>
              </w:rPr>
            </w:pPr>
            <w:r>
              <w:rPr>
                <w:rFonts w:ascii="宋体" w:hAnsi="宋体" w:eastAsia="宋体" w:cs="宋体"/>
                <w:spacing w:val="-4"/>
                <w:sz w:val="22"/>
                <w:szCs w:val="22"/>
              </w:rPr>
              <w:t>批准调整后</w:t>
            </w:r>
            <w:r>
              <w:rPr>
                <w:rFonts w:ascii="宋体" w:hAnsi="宋体" w:eastAsia="宋体" w:cs="宋体"/>
                <w:spacing w:val="-3"/>
                <w:sz w:val="22"/>
                <w:szCs w:val="22"/>
              </w:rPr>
              <w:t>服务目录</w:t>
            </w:r>
          </w:p>
        </w:tc>
        <w:tc>
          <w:tcPr>
            <w:tcW w:w="1698" w:type="dxa"/>
          </w:tcPr>
          <w:p w14:paraId="2C6272FE">
            <w:pPr>
              <w:keepNext w:val="0"/>
              <w:keepLines w:val="0"/>
              <w:pageBreakBefore w:val="0"/>
              <w:widowControl w:val="0"/>
              <w:kinsoku w:val="0"/>
              <w:wordWrap/>
              <w:overflowPunct/>
              <w:topLinePunct w:val="0"/>
              <w:autoSpaceDE w:val="0"/>
              <w:autoSpaceDN w:val="0"/>
              <w:bidi w:val="0"/>
              <w:adjustRightInd w:val="0"/>
              <w:snapToGrid w:val="0"/>
              <w:spacing w:before="150" w:line="220" w:lineRule="auto"/>
              <w:ind w:left="126"/>
              <w:textAlignment w:val="baseline"/>
              <w:rPr>
                <w:rFonts w:ascii="宋体" w:hAnsi="宋体" w:eastAsia="宋体" w:cs="宋体"/>
                <w:sz w:val="22"/>
                <w:szCs w:val="22"/>
              </w:rPr>
            </w:pPr>
            <w:r>
              <w:rPr>
                <w:rFonts w:ascii="宋体" w:hAnsi="宋体" w:eastAsia="宋体" w:cs="宋体"/>
                <w:spacing w:val="-5"/>
                <w:sz w:val="22"/>
                <w:szCs w:val="22"/>
              </w:rPr>
              <w:t>公司副总经理</w:t>
            </w:r>
          </w:p>
        </w:tc>
        <w:tc>
          <w:tcPr>
            <w:tcW w:w="4980" w:type="dxa"/>
          </w:tcPr>
          <w:p w14:paraId="47048DDE">
            <w:pPr>
              <w:keepNext w:val="0"/>
              <w:keepLines w:val="0"/>
              <w:pageBreakBefore w:val="0"/>
              <w:widowControl w:val="0"/>
              <w:kinsoku w:val="0"/>
              <w:wordWrap/>
              <w:overflowPunct/>
              <w:topLinePunct w:val="0"/>
              <w:autoSpaceDE w:val="0"/>
              <w:autoSpaceDN w:val="0"/>
              <w:bidi w:val="0"/>
              <w:adjustRightInd w:val="0"/>
              <w:snapToGrid w:val="0"/>
              <w:spacing w:before="170" w:line="324" w:lineRule="auto"/>
              <w:ind w:left="122" w:right="258" w:hanging="5"/>
              <w:textAlignment w:val="baseline"/>
              <w:rPr>
                <w:rFonts w:ascii="宋体" w:hAnsi="宋体" w:eastAsia="宋体" w:cs="宋体"/>
                <w:sz w:val="22"/>
                <w:szCs w:val="22"/>
              </w:rPr>
            </w:pPr>
            <w:r>
              <w:rPr>
                <w:rFonts w:ascii="宋体" w:hAnsi="宋体" w:eastAsia="宋体" w:cs="宋体"/>
                <w:spacing w:val="-2"/>
                <w:sz w:val="22"/>
                <w:szCs w:val="22"/>
              </w:rPr>
              <w:t>批准服务目录，通过变更与发布管理流程进行服</w:t>
            </w:r>
            <w:r>
              <w:rPr>
                <w:rFonts w:ascii="宋体" w:hAnsi="宋体" w:eastAsia="宋体" w:cs="宋体"/>
                <w:spacing w:val="-6"/>
                <w:sz w:val="22"/>
                <w:szCs w:val="22"/>
              </w:rPr>
              <w:t>务目录变更。</w:t>
            </w:r>
          </w:p>
        </w:tc>
      </w:tr>
    </w:tbl>
    <w:p w14:paraId="1991329A">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4" w:name="_Toc9813"/>
      <w:r>
        <w:t>服务目录价值</w:t>
      </w:r>
      <w:bookmarkEnd w:id="24"/>
    </w:p>
    <w:p w14:paraId="51201258">
      <w:pPr>
        <w:pStyle w:val="27"/>
        <w:bidi w:val="0"/>
      </w:pPr>
      <w:r>
        <w:t>组织管理层决策有支撑：服务目录准确描述基于客户需求（客户视角），组织能为客户提供什么样的运维服务，从而围绕服务目录开展相关的人员、资源、技术和过程建设。为组织管理层提供决策支撑。</w:t>
      </w:r>
    </w:p>
    <w:p w14:paraId="0CBBB03B">
      <w:pPr>
        <w:pStyle w:val="27"/>
        <w:bidi w:val="0"/>
      </w:pPr>
      <w:r>
        <w:t>运维服务可量化：运维服务作为无形无界的特殊产物，往往很难被衡量价值，所以运维服务通过服务目录的细化，可渐趋产品化，为性能度量提供一准；</w:t>
      </w:r>
    </w:p>
    <w:p w14:paraId="6222064B">
      <w:pPr>
        <w:pStyle w:val="27"/>
        <w:bidi w:val="0"/>
      </w:pPr>
      <w:r>
        <w:t>运维服务可被客户所识别：运维服务最终的交付对象是客户，所以运维服务通过服务目录（客户视角），能清晰展示组织的服务范围、服务能力、服务时效等，易被客户所理解，认同。作为与客户的沟通工具，以及客户的决策依据；</w:t>
      </w:r>
    </w:p>
    <w:p w14:paraId="5EABEACF">
      <w:pPr>
        <w:pStyle w:val="27"/>
        <w:bidi w:val="0"/>
      </w:pPr>
      <w:r>
        <w:t>运维服务等级可区分：运维服务在服务目录中进行细化后，采用不同的服务搭配与组合以及实现不同的服务承诺，让客户可以根据自己的需要去选择适合自己的服务。</w:t>
      </w:r>
    </w:p>
    <w:p w14:paraId="2309C4F2">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5" w:name="_Toc30595"/>
      <w:r>
        <w:t>与其他过程的关系</w:t>
      </w:r>
      <w:bookmarkEnd w:id="25"/>
    </w:p>
    <w:p w14:paraId="4AECA02A">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26" w:name="bookmark28"/>
      <w:bookmarkEnd w:id="26"/>
      <w:bookmarkStart w:id="27" w:name="_Toc21531"/>
      <w:r>
        <w:t>与服务级别管理过程的关系</w:t>
      </w:r>
      <w:bookmarkEnd w:id="27"/>
    </w:p>
    <w:p w14:paraId="462A8116">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jc w:val="left"/>
        <w:textAlignment w:val="baseline"/>
        <w:rPr>
          <w:rFonts w:ascii="宋体" w:hAnsi="宋体" w:eastAsia="宋体" w:cs="宋体"/>
          <w:spacing w:val="-1"/>
          <w:sz w:val="24"/>
          <w:szCs w:val="24"/>
        </w:rPr>
      </w:pPr>
      <w:r>
        <w:rPr>
          <w:rFonts w:ascii="宋体" w:hAnsi="宋体" w:eastAsia="宋体" w:cs="宋体"/>
          <w:spacing w:val="-1"/>
          <w:sz w:val="24"/>
          <w:szCs w:val="24"/>
        </w:rPr>
        <w:t>在组织中，以同样的方式向所有或大多数客户提供一个标准级别的支持，因此对于大多数用户服务目录成为了实际上的SLA。只有那些用户需要一个不同的服务等级时将需要有一个 SLA，并且SLA只需要定义什么项目不同于标准服务目录。服务目录制定后，将作为服务级别管理的输入。</w:t>
      </w:r>
    </w:p>
    <w:p w14:paraId="45D0C921">
      <w:pPr>
        <w:pStyle w:val="28"/>
        <w:keepNext w:val="0"/>
        <w:keepLines w:val="0"/>
        <w:pageBreakBefore w:val="0"/>
        <w:widowControl w:val="0"/>
        <w:tabs>
          <w:tab w:val="left" w:pos="420"/>
        </w:tabs>
        <w:kinsoku w:val="0"/>
        <w:wordWrap/>
        <w:overflowPunct/>
        <w:topLinePunct w:val="0"/>
        <w:autoSpaceDE w:val="0"/>
        <w:autoSpaceDN w:val="0"/>
        <w:bidi w:val="0"/>
        <w:adjustRightInd w:val="0"/>
        <w:snapToGrid w:val="0"/>
        <w:textAlignment w:val="baseline"/>
      </w:pPr>
      <w:bookmarkStart w:id="28" w:name="_Toc19352"/>
      <w:r>
        <w:t>与变更与发布管理过程的关系</w:t>
      </w:r>
      <w:bookmarkEnd w:id="28"/>
    </w:p>
    <w:p w14:paraId="0E866911">
      <w:pPr>
        <w:pStyle w:val="27"/>
        <w:bidi w:val="0"/>
      </w:pPr>
      <w:r>
        <w:t>服务目录在修订后，需经由变更与发布管理流程进行重新发布。</w:t>
      </w:r>
    </w:p>
    <w:p w14:paraId="53CA1F00">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29" w:name="_Toc1092"/>
      <w:r>
        <w:t>服务目录管理过程持续改进</w:t>
      </w:r>
      <w:bookmarkEnd w:id="29"/>
    </w:p>
    <w:p w14:paraId="3D76F6E2">
      <w:pPr>
        <w:pStyle w:val="39"/>
        <w:bidi w:val="0"/>
      </w:pPr>
      <w:r>
        <w:t>改进的输入：</w:t>
      </w:r>
    </w:p>
    <w:p w14:paraId="4D085A6A">
      <w:pPr>
        <w:pStyle w:val="39"/>
        <w:numPr>
          <w:ilvl w:val="0"/>
          <w:numId w:val="5"/>
        </w:numPr>
        <w:bidi w:val="0"/>
        <w:ind w:left="425" w:leftChars="0" w:hanging="425" w:firstLineChars="0"/>
      </w:pPr>
      <w:r>
        <w:t>过程执行中发现的不足；</w:t>
      </w:r>
    </w:p>
    <w:p w14:paraId="41E5649C">
      <w:pPr>
        <w:pStyle w:val="39"/>
        <w:numPr>
          <w:ilvl w:val="0"/>
          <w:numId w:val="5"/>
        </w:numPr>
        <w:bidi w:val="0"/>
        <w:ind w:left="425" w:leftChars="0" w:hanging="425" w:firstLineChars="0"/>
      </w:pPr>
      <w:r>
        <w:t>过程自检过程中发现的不足；</w:t>
      </w:r>
    </w:p>
    <w:p w14:paraId="5CE7F2D7">
      <w:pPr>
        <w:pStyle w:val="39"/>
        <w:numPr>
          <w:ilvl w:val="0"/>
          <w:numId w:val="5"/>
        </w:numPr>
        <w:bidi w:val="0"/>
        <w:ind w:left="425" w:leftChars="0" w:hanging="425" w:firstLineChars="0"/>
      </w:pPr>
      <w:r>
        <w:t>内部审核及外部审核中，发现的与 ITSS运维通用要求的不符合项；</w:t>
      </w:r>
    </w:p>
    <w:p w14:paraId="4CE9B6F2">
      <w:pPr>
        <w:pStyle w:val="39"/>
        <w:numPr>
          <w:ilvl w:val="0"/>
          <w:numId w:val="5"/>
        </w:numPr>
        <w:bidi w:val="0"/>
        <w:ind w:left="425" w:leftChars="0" w:hanging="425" w:firstLineChars="0"/>
      </w:pPr>
      <w:r>
        <w:t>管理评审过程中发现的服务/流程改进点。</w:t>
      </w:r>
    </w:p>
    <w:p w14:paraId="1BB92DE3">
      <w:pPr>
        <w:pStyle w:val="39"/>
        <w:numPr>
          <w:ilvl w:val="0"/>
          <w:numId w:val="0"/>
        </w:numPr>
        <w:bidi w:val="0"/>
        <w:ind w:leftChars="0"/>
      </w:pPr>
      <w:r>
        <w:t>改进方法：</w:t>
      </w:r>
    </w:p>
    <w:p w14:paraId="71C898B2">
      <w:pPr>
        <w:pStyle w:val="39"/>
        <w:numPr>
          <w:ilvl w:val="0"/>
          <w:numId w:val="6"/>
        </w:numPr>
        <w:bidi w:val="0"/>
        <w:ind w:left="425" w:leftChars="0" w:hanging="425" w:firstLineChars="0"/>
      </w:pPr>
      <w:r>
        <w:t>组织过程改进讨论会议，与各方就改进需求、改进目标、改进方案沟通讨论；</w:t>
      </w:r>
    </w:p>
    <w:p w14:paraId="0412D638">
      <w:pPr>
        <w:pStyle w:val="39"/>
        <w:numPr>
          <w:ilvl w:val="0"/>
          <w:numId w:val="6"/>
        </w:numPr>
        <w:bidi w:val="0"/>
        <w:ind w:left="425" w:leftChars="0" w:hanging="425" w:firstLineChars="0"/>
      </w:pPr>
      <w:r>
        <w:t>服务管理体系负责人审批改进计划；</w:t>
      </w:r>
    </w:p>
    <w:p w14:paraId="25655D3F">
      <w:pPr>
        <w:pStyle w:val="39"/>
        <w:numPr>
          <w:ilvl w:val="0"/>
          <w:numId w:val="6"/>
        </w:numPr>
        <w:bidi w:val="0"/>
        <w:ind w:left="425" w:leftChars="0" w:hanging="425" w:firstLineChars="0"/>
      </w:pPr>
      <w:r>
        <w:t>对服务目录管理改进过程进行监控，对人事和资源做出合理安排；</w:t>
      </w:r>
    </w:p>
    <w:p w14:paraId="2C4842A0">
      <w:pPr>
        <w:pStyle w:val="39"/>
        <w:numPr>
          <w:ilvl w:val="0"/>
          <w:numId w:val="6"/>
        </w:numPr>
        <w:bidi w:val="0"/>
        <w:ind w:left="425" w:leftChars="0" w:hanging="425" w:firstLineChars="0"/>
        <w:rPr>
          <w:rFonts w:hint="eastAsia"/>
          <w:lang w:val="en-US" w:eastAsia="zh-CN"/>
        </w:rPr>
      </w:pPr>
      <w:r>
        <w:t>向管理体系负责人汇报改进结果</w:t>
      </w:r>
      <w:r>
        <w:rPr>
          <w:rFonts w:hint="eastAsia"/>
          <w:lang w:eastAsia="zh-CN"/>
        </w:rPr>
        <w:t>；</w:t>
      </w:r>
    </w:p>
    <w:p w14:paraId="60533B05">
      <w:pPr>
        <w:pStyle w:val="39"/>
        <w:numPr>
          <w:ilvl w:val="0"/>
          <w:numId w:val="6"/>
        </w:numPr>
        <w:bidi w:val="0"/>
        <w:ind w:left="425" w:leftChars="0" w:hanging="425" w:firstLineChars="0"/>
      </w:pPr>
      <w:r>
        <w:t>根据服务改进结果安排相应的知识转移工作，包括文档的更新发放、培训课程的安排等。</w:t>
      </w:r>
    </w:p>
    <w:p w14:paraId="39841F71">
      <w:pPr>
        <w:pStyle w:val="26"/>
        <w:keepNext w:val="0"/>
        <w:keepLines w:val="0"/>
        <w:pageBreakBefore w:val="0"/>
        <w:widowControl w:val="0"/>
        <w:kinsoku w:val="0"/>
        <w:wordWrap/>
        <w:overflowPunct/>
        <w:topLinePunct w:val="0"/>
        <w:autoSpaceDE w:val="0"/>
        <w:autoSpaceDN w:val="0"/>
        <w:bidi w:val="0"/>
        <w:adjustRightInd w:val="0"/>
        <w:snapToGrid w:val="0"/>
        <w:textAlignment w:val="baseline"/>
      </w:pPr>
      <w:bookmarkStart w:id="30" w:name="_Toc26637"/>
      <w:r>
        <w:t>相关文件与记录</w:t>
      </w:r>
      <w:bookmarkEnd w:id="30"/>
    </w:p>
    <w:p w14:paraId="4F876B1F">
      <w:pPr>
        <w:keepNext w:val="0"/>
        <w:keepLines w:val="0"/>
        <w:pageBreakBefore w:val="0"/>
        <w:widowControl w:val="0"/>
        <w:kinsoku w:val="0"/>
        <w:wordWrap/>
        <w:overflowPunct/>
        <w:topLinePunct w:val="0"/>
        <w:autoSpaceDE w:val="0"/>
        <w:autoSpaceDN w:val="0"/>
        <w:bidi w:val="0"/>
        <w:adjustRightInd w:val="0"/>
        <w:snapToGrid w:val="0"/>
        <w:spacing w:line="219" w:lineRule="auto"/>
        <w:ind w:left="0" w:firstLine="464" w:firstLineChars="200"/>
        <w:textAlignment w:val="baseline"/>
        <w:rPr>
          <w:rFonts w:ascii="宋体" w:hAnsi="宋体" w:eastAsia="宋体" w:cs="宋体"/>
          <w:sz w:val="24"/>
          <w:szCs w:val="24"/>
        </w:rPr>
      </w:pPr>
      <w:bookmarkStart w:id="31" w:name="bookmark29"/>
      <w:bookmarkEnd w:id="31"/>
      <w:r>
        <w:rPr>
          <w:rFonts w:ascii="宋体" w:hAnsi="宋体" w:eastAsia="宋体" w:cs="宋体"/>
          <w:spacing w:val="-4"/>
          <w:sz w:val="24"/>
          <w:szCs w:val="24"/>
        </w:rPr>
        <w:t>《</w:t>
      </w:r>
      <w:r>
        <w:rPr>
          <w:rFonts w:hint="eastAsia" w:ascii="宋体" w:hAnsi="宋体" w:eastAsia="宋体" w:cs="宋体"/>
          <w:spacing w:val="-4"/>
          <w:sz w:val="24"/>
          <w:szCs w:val="24"/>
        </w:rPr>
        <w:t>公司运行维护服务目录</w:t>
      </w:r>
      <w:r>
        <w:rPr>
          <w:rFonts w:ascii="宋体" w:hAnsi="宋体" w:eastAsia="宋体" w:cs="宋体"/>
          <w:spacing w:val="-4"/>
          <w:sz w:val="24"/>
          <w:szCs w:val="24"/>
        </w:rPr>
        <w:t>》</w:t>
      </w:r>
    </w:p>
    <w:sectPr>
      <w:footerReference r:id="rId6" w:type="default"/>
      <w:pgSz w:w="11906" w:h="16840"/>
      <w:pgMar w:top="1431" w:right="1785" w:bottom="1144" w:left="1645" w:header="0" w:footer="978"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2DBCA6">
    <w:pPr>
      <w:spacing w:line="169" w:lineRule="auto"/>
      <w:ind w:left="4450"/>
      <w:rPr>
        <w:rFonts w:ascii="Calibri" w:hAnsi="Calibri" w:eastAsia="Calibri" w:cs="Calibri"/>
        <w:sz w:val="18"/>
        <w:szCs w:val="1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895BBB">
    <w:pPr>
      <w:pStyle w:val="1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CD138288"/>
    <w:multiLevelType w:val="singleLevel"/>
    <w:tmpl w:val="CD138288"/>
    <w:lvl w:ilvl="0" w:tentative="0">
      <w:start w:val="1"/>
      <w:numFmt w:val="decimal"/>
      <w:lvlText w:val="%1."/>
      <w:lvlJc w:val="left"/>
      <w:pPr>
        <w:ind w:left="425" w:hanging="425"/>
      </w:pPr>
      <w:rPr>
        <w:rFonts w:hint="default"/>
      </w:rPr>
    </w:lvl>
  </w:abstractNum>
  <w:abstractNum w:abstractNumId="2">
    <w:nsid w:val="CFCEA185"/>
    <w:multiLevelType w:val="singleLevel"/>
    <w:tmpl w:val="CFCEA185"/>
    <w:lvl w:ilvl="0" w:tentative="0">
      <w:start w:val="1"/>
      <w:numFmt w:val="decimal"/>
      <w:lvlText w:val="%1."/>
      <w:lvlJc w:val="left"/>
      <w:pPr>
        <w:ind w:left="425" w:hanging="425"/>
      </w:pPr>
      <w:rPr>
        <w:rFonts w:hint="default"/>
      </w:rPr>
    </w:lvl>
  </w:abstractNum>
  <w:abstractNum w:abstractNumId="3">
    <w:nsid w:val="F7191751"/>
    <w:multiLevelType w:val="singleLevel"/>
    <w:tmpl w:val="F7191751"/>
    <w:lvl w:ilvl="0" w:tentative="0">
      <w:start w:val="1"/>
      <w:numFmt w:val="decimal"/>
      <w:lvlText w:val="%1."/>
      <w:lvlJc w:val="left"/>
      <w:pPr>
        <w:ind w:left="425" w:hanging="425"/>
      </w:pPr>
      <w:rPr>
        <w:rFonts w:hint="default"/>
      </w:rPr>
    </w:lvl>
  </w:abstractNum>
  <w:abstractNum w:abstractNumId="4">
    <w:nsid w:val="1B93FE6C"/>
    <w:multiLevelType w:val="singleLevel"/>
    <w:tmpl w:val="1B93FE6C"/>
    <w:lvl w:ilvl="0" w:tentative="0">
      <w:start w:val="1"/>
      <w:numFmt w:val="decimal"/>
      <w:lvlText w:val="%1."/>
      <w:lvlJc w:val="left"/>
      <w:pPr>
        <w:ind w:left="425" w:hanging="425"/>
      </w:pPr>
      <w:rPr>
        <w:rFonts w:hint="default"/>
      </w:rPr>
    </w:lvl>
  </w:abstractNum>
  <w:abstractNum w:abstractNumId="5">
    <w:nsid w:val="6A10E1AF"/>
    <w:multiLevelType w:val="singleLevel"/>
    <w:tmpl w:val="6A10E1AF"/>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2"/>
  </w:num>
  <w:num w:numId="4">
    <w:abstractNumId w:val="4"/>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7192104"/>
    <w:rsid w:val="083D3697"/>
    <w:rsid w:val="0F7729A5"/>
    <w:rsid w:val="153C5723"/>
    <w:rsid w:val="2EBE07DF"/>
    <w:rsid w:val="36250942"/>
    <w:rsid w:val="41571454"/>
    <w:rsid w:val="4A8561FD"/>
    <w:rsid w:val="4C217667"/>
    <w:rsid w:val="503C110B"/>
    <w:rsid w:val="5EAF0D83"/>
    <w:rsid w:val="65722F68"/>
    <w:rsid w:val="6E7D2BC3"/>
    <w:rsid w:val="7AE75A52"/>
    <w:rsid w:val="7CA64619"/>
    <w:rsid w:val="7F1E5CFC"/>
    <w:rsid w:val="7FB74BE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7"/>
    <w:qFormat/>
    <w:uiPriority w:val="0"/>
    <w:rPr>
      <w:rFonts w:ascii="Arial" w:hAnsi="Arial" w:eastAsia="宋体"/>
      <w:sz w:val="24"/>
      <w:lang w:eastAsia="zh-CN"/>
    </w:rPr>
  </w:style>
  <w:style w:type="table" w:customStyle="1" w:styleId="42">
    <w:name w:val="Table Normal_1"/>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10</Pages>
  <Words>3328</Words>
  <Characters>3476</Characters>
  <Lines>0</Lines>
  <Paragraphs>0</Paragraphs>
  <TotalTime>1</TotalTime>
  <ScaleCrop>false</ScaleCrop>
  <LinksUpToDate>false</LinksUpToDate>
  <CharactersWithSpaces>3597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2025-08-17T23:52:00Z</dcterms:created>
  <dc:creator>zhangmingzhao</dc:creator>
  <cp:lastModifiedBy>郝宇</cp:lastModifiedBy>
  <dcterms:modified xsi:type="dcterms:W3CDTF">2026-02-09T15:59:24Z</dcterms:modified>
  <dc:title>信息知识库</dc:title>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2025-08-20T14:52:32Z</vt:filetime>
  </property>
  <property fmtid="{D5CDD505-2E9C-101B-9397-08002B2CF9AE}" pid="3" name="CRO">
    <vt:lpwstr>wqlLaW5nc29mdCBQREYgdG8gV1BTIDExNQ</vt:lpwstr>
  </property>
  <property fmtid="{D5CDD505-2E9C-101B-9397-08002B2CF9AE}" pid="4" name="ICV">
    <vt:lpwstr>2F73AB647509423ABBA1533DAF412971_12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