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7B160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8FAD1A7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1DC38B3A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0" w:name="_Toc22191"/>
      <w:r>
        <w:rPr>
          <w:rFonts w:hint="eastAsia"/>
        </w:rPr>
        <w:t>盐都区新能源汽车充电站建设项目</w:t>
      </w:r>
      <w:bookmarkEnd w:id="0"/>
    </w:p>
    <w:p w14:paraId="5F650CFC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应急演练大纲</w:t>
      </w:r>
    </w:p>
    <w:p w14:paraId="106E1C6A">
      <w:pPr>
        <w:pStyle w:val="3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8682"/>
      <w:r>
        <w:t>中达丰集团有限公司</w:t>
      </w:r>
      <w:bookmarkEnd w:id="1"/>
    </w:p>
    <w:p w14:paraId="3A874F9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textAlignment w:val="baseline"/>
        <w:rPr>
          <w:rFonts w:ascii="宋体" w:hAnsi="宋体" w:eastAsia="宋体" w:cs="宋体"/>
          <w:sz w:val="30"/>
          <w:szCs w:val="30"/>
        </w:rPr>
      </w:pPr>
    </w:p>
    <w:p w14:paraId="5E8B34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jc w:val="center"/>
        <w:textAlignment w:val="baseline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2025年</w:t>
      </w:r>
      <w:r>
        <w:rPr>
          <w:rFonts w:hint="eastAsia" w:ascii="宋体" w:hAnsi="宋体" w:cs="宋体"/>
          <w:sz w:val="30"/>
          <w:szCs w:val="30"/>
          <w:lang w:val="en-US" w:eastAsia="zh-CN"/>
        </w:rPr>
        <w:t>4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月</w:t>
      </w:r>
      <w:r>
        <w:rPr>
          <w:rFonts w:hint="eastAsia" w:ascii="宋体" w:hAnsi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0日</w:t>
      </w:r>
    </w:p>
    <w:p w14:paraId="69D29A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96" w:line="220" w:lineRule="auto"/>
        <w:ind w:left="3620"/>
        <w:textAlignment w:val="baseline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4088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16250CD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31" w:lineRule="exact"/>
        <w:textAlignment w:val="baseline"/>
      </w:pPr>
    </w:p>
    <w:tbl>
      <w:tblPr>
        <w:tblStyle w:val="24"/>
        <w:tblW w:w="9071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7F8F0F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479CEC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207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05C6F70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18" w:lineRule="auto"/>
              <w:ind w:left="109"/>
              <w:textAlignment w:val="baseline"/>
            </w:pPr>
            <w:r>
              <w:rPr>
                <w:rFonts w:hint="eastAsia"/>
                <w:lang w:val="en-US" w:eastAsia="zh-CN"/>
              </w:rPr>
              <w:t>应急演练大纲</w:t>
            </w:r>
            <w:r>
              <w:t>（ZDFJT-ITS</w:t>
            </w:r>
            <w:r>
              <w:rPr>
                <w:spacing w:val="-1"/>
              </w:rPr>
              <w:t>S-</w:t>
            </w:r>
            <w:r>
              <w:rPr>
                <w:rFonts w:hint="eastAsia"/>
                <w:spacing w:val="-1"/>
                <w:lang w:val="en-US" w:eastAsia="zh-CN"/>
              </w:rPr>
              <w:t>YJYLDG</w:t>
            </w:r>
            <w:r>
              <w:rPr>
                <w:spacing w:val="-1"/>
              </w:rPr>
              <w:t>）</w:t>
            </w:r>
          </w:p>
        </w:tc>
      </w:tr>
      <w:tr w14:paraId="31B396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15DB6A1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20" w:lineRule="auto"/>
              <w:ind w:left="447"/>
              <w:textAlignment w:val="baseline"/>
            </w:pPr>
            <w:r>
              <w:rPr>
                <w:spacing w:val="-3"/>
              </w:rPr>
              <w:t>编制单位</w:t>
            </w:r>
          </w:p>
        </w:tc>
        <w:tc>
          <w:tcPr>
            <w:tcW w:w="7225" w:type="dxa"/>
            <w:gridSpan w:val="4"/>
          </w:tcPr>
          <w:p w14:paraId="2A7784A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2" w:line="219" w:lineRule="auto"/>
              <w:ind w:left="109"/>
              <w:textAlignment w:val="baseline"/>
            </w:pPr>
            <w:r>
              <w:rPr>
                <w:spacing w:val="-1"/>
              </w:rPr>
              <w:t>中达丰集团有限公司</w:t>
            </w:r>
          </w:p>
        </w:tc>
      </w:tr>
      <w:tr w14:paraId="1D5BA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4DFC47D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447"/>
              <w:textAlignment w:val="baseline"/>
            </w:pPr>
            <w:r>
              <w:rPr>
                <w:spacing w:val="-3"/>
              </w:rPr>
              <w:t>文档版本</w:t>
            </w:r>
          </w:p>
        </w:tc>
        <w:tc>
          <w:tcPr>
            <w:tcW w:w="1413" w:type="dxa"/>
          </w:tcPr>
          <w:p w14:paraId="32EF0DE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22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6674189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4" w:line="219" w:lineRule="auto"/>
              <w:ind w:left="676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373382C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546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63413A1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5" w:line="220" w:lineRule="auto"/>
              <w:ind w:left="755"/>
              <w:textAlignment w:val="baseline"/>
            </w:pPr>
            <w:r>
              <w:rPr>
                <w:spacing w:val="-6"/>
              </w:rPr>
              <w:t>审核</w:t>
            </w:r>
          </w:p>
        </w:tc>
      </w:tr>
      <w:tr w14:paraId="11D74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60621409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680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72DF501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4" w:line="238" w:lineRule="auto"/>
              <w:ind w:left="171"/>
              <w:textAlignment w:val="baseline"/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0</w:t>
            </w:r>
          </w:p>
        </w:tc>
        <w:tc>
          <w:tcPr>
            <w:tcW w:w="2302" w:type="dxa"/>
          </w:tcPr>
          <w:p w14:paraId="440580B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19" w:lineRule="auto"/>
              <w:ind w:left="679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1205929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9" w:line="220" w:lineRule="auto"/>
              <w:ind w:left="458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208C908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220" w:lineRule="auto"/>
              <w:ind w:left="635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吴向阳</w:t>
            </w:r>
          </w:p>
        </w:tc>
      </w:tr>
      <w:tr w14:paraId="550FE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354121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65BEF4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1647C9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FBEAD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7E6761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1CE42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88" w:hRule="atLeast"/>
        </w:trPr>
        <w:tc>
          <w:tcPr>
            <w:tcW w:w="1846" w:type="dxa"/>
          </w:tcPr>
          <w:p w14:paraId="25EF84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1309DD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534B54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2D3F2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EE46C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5796DD3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606471D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sectPr>
          <w:pgSz w:w="11906" w:h="16839"/>
          <w:pgMar w:top="1431" w:right="1029" w:bottom="0" w:left="178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0670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18CBE51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2D19C3B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_Toc22191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</w:rPr>
            <w:t>盐都区新能源汽车充电站建设项目</w:t>
          </w:r>
          <w:r>
            <w:tab/>
          </w:r>
          <w:r>
            <w:fldChar w:fldCharType="begin"/>
          </w:r>
          <w:r>
            <w:instrText xml:space="preserve"> PAGEREF _Toc22191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F336D85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_Toc27312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交付实施方案</w:t>
          </w:r>
          <w:r>
            <w:tab/>
          </w:r>
          <w:r>
            <w:fldChar w:fldCharType="begin"/>
          </w:r>
          <w:r>
            <w:instrText xml:space="preserve"> PAGEREF _Toc27312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2C68A92A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_Toc8682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_Toc8682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15310220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_Toc4088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_Toc4088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1493E304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_Toc592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项目概述与交付目标</w:t>
          </w:r>
          <w:r>
            <w:tab/>
          </w:r>
          <w:r>
            <w:fldChar w:fldCharType="begin"/>
          </w:r>
          <w:r>
            <w:instrText xml:space="preserve"> PAGEREF _Toc592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4316A9A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_Toc20147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项目组织架构与职责分工</w:t>
          </w:r>
          <w:r>
            <w:tab/>
          </w:r>
          <w:r>
            <w:fldChar w:fldCharType="begin"/>
          </w:r>
          <w:r>
            <w:instrText xml:space="preserve"> PAGEREF _Toc20147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75A3AB83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_Toc13430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详细实施计划与时间表</w:t>
          </w:r>
          <w:r>
            <w:tab/>
          </w:r>
          <w:r>
            <w:fldChar w:fldCharType="begin"/>
          </w:r>
          <w:r>
            <w:instrText xml:space="preserve"> PAGEREF _Toc13430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05FC91DB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_Toc17111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关键技术标准与质量保障措施</w:t>
          </w:r>
          <w:r>
            <w:tab/>
          </w:r>
          <w:r>
            <w:fldChar w:fldCharType="begin"/>
          </w:r>
          <w:r>
            <w:instrText xml:space="preserve"> PAGEREF _Toc17111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5D2FF7CA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_Toc14186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沟通与协调机制</w:t>
          </w:r>
          <w:r>
            <w:tab/>
          </w:r>
          <w:r>
            <w:fldChar w:fldCharType="begin"/>
          </w:r>
          <w:r>
            <w:instrText xml:space="preserve"> PAGEREF _Toc14186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385DC26B">
          <w:pPr>
            <w:pStyle w:val="16"/>
            <w:tabs>
              <w:tab w:val="right" w:leader="dot" w:pos="8336"/>
            </w:tabs>
          </w:pPr>
          <w:r>
            <w:rPr>
              <w:rFonts w:ascii="宋体" w:hAnsi="宋体" w:eastAsia="宋体" w:cs="宋体"/>
              <w:szCs w:val="24"/>
            </w:rPr>
            <w:fldChar w:fldCharType="begin"/>
          </w:r>
          <w:r>
            <w:rPr>
              <w:rFonts w:ascii="宋体" w:hAnsi="宋体" w:eastAsia="宋体" w:cs="宋体"/>
              <w:szCs w:val="24"/>
            </w:rPr>
            <w:instrText xml:space="preserve"> HYPERLINK \l _Toc7800 </w:instrText>
          </w:r>
          <w:r>
            <w:rPr>
              <w:rFonts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后期运维支持承诺（质保期）</w:t>
          </w:r>
          <w:r>
            <w:tab/>
          </w:r>
          <w:r>
            <w:fldChar w:fldCharType="begin"/>
          </w:r>
          <w:r>
            <w:instrText xml:space="preserve"> PAGEREF _Toc7800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hAnsi="宋体" w:eastAsia="宋体" w:cs="宋体"/>
              <w:szCs w:val="24"/>
            </w:rPr>
            <w:fldChar w:fldCharType="end"/>
          </w:r>
        </w:p>
        <w:p w14:paraId="437FB28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ascii="宋体" w:hAnsi="宋体" w:eastAsia="宋体" w:cs="宋体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宋体" w:hAnsi="宋体" w:eastAsia="宋体" w:cs="宋体"/>
              <w:szCs w:val="24"/>
            </w:rPr>
            <w:fldChar w:fldCharType="end"/>
          </w:r>
        </w:p>
      </w:sdtContent>
    </w:sdt>
    <w:p w14:paraId="24E6798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ascii="宋体" w:hAnsi="宋体" w:eastAsia="宋体" w:cs="宋体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27AB8FF8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总则</w:t>
      </w:r>
    </w:p>
    <w:p w14:paraId="14CF9674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</w:t>
      </w:r>
    </w:p>
    <w:p w14:paraId="6752F1F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为建立健全盐都区新能源汽车充电站建设项目的应急响应机制，规范突发事件应急处置流程，提升项目团队的应急协同能力与实战水平，保障充电设施安全、稳定运行，特制定本大纲。</w:t>
      </w:r>
    </w:p>
    <w:p w14:paraId="6CB47B07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</w:t>
      </w:r>
    </w:p>
    <w:p w14:paraId="283CCC4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国家及地方相关安全生产、电力设施保护、网络安全等法律法规</w:t>
      </w:r>
    </w:p>
    <w:p w14:paraId="23A8FF1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项目合同及相关技术标准</w:t>
      </w:r>
    </w:p>
    <w:p w14:paraId="749BF8A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《盐都区新能源汽车充电站建设项目交付实施方案》</w:t>
      </w:r>
    </w:p>
    <w:p w14:paraId="673D5EF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公司现行应急预案及安全管理制度</w:t>
      </w:r>
    </w:p>
    <w:p w14:paraId="0BB9CE3D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适用范围</w:t>
      </w:r>
    </w:p>
    <w:p w14:paraId="6430CD2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本大纲适用于盐都区新能源汽车充电站建设项目（共60个站点）在建设期（含试运行）及质保期内可能发生的各类突发事件的应急演练组织与管理工作。</w:t>
      </w:r>
    </w:p>
    <w:p w14:paraId="43BFD7A2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基本原则</w:t>
      </w:r>
    </w:p>
    <w:p w14:paraId="715E090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统一领导，分级负责：在项目应急领导小组统一指挥下，各岗位按职责分工落实。</w:t>
      </w:r>
    </w:p>
    <w:p w14:paraId="4B27EE84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预防为主，防练结合：结合巡检与风险识别，开展针对性演练。</w:t>
      </w:r>
    </w:p>
    <w:p w14:paraId="59E7ED7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贴近实战，注重实效：模拟真实场景，检验预案可操作性。</w:t>
      </w:r>
    </w:p>
    <w:p w14:paraId="51B91C9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快速反应，协同处置：强化内部联动与外部协作效率。</w:t>
      </w:r>
    </w:p>
    <w:p w14:paraId="1B94C0F1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应急演练组织体系</w:t>
      </w:r>
    </w:p>
    <w:p w14:paraId="67FEA06A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应急演练领导小组</w:t>
      </w:r>
    </w:p>
    <w:p w14:paraId="0F3A9A0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组长：项目总监（运维部经理）</w:t>
      </w:r>
    </w:p>
    <w:p w14:paraId="05AFB06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副组长：运维项目经理</w:t>
      </w:r>
    </w:p>
    <w:p w14:paraId="050A5BF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成员：技术支持工程师、网络工程师、软件运维工程师、服务台经理、质量部代表</w:t>
      </w:r>
    </w:p>
    <w:p w14:paraId="315DC912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职责分工</w:t>
      </w:r>
    </w:p>
    <w:p w14:paraId="19ADDDB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领导小组：负责演练的策划、审批、督导与评估。</w:t>
      </w:r>
    </w:p>
    <w:p w14:paraId="78A3DA1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运维项目经理：负责具体演练方案的实施与现场指挥。</w:t>
      </w:r>
    </w:p>
    <w:p w14:paraId="305823C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各专业工程师：按职责参与演练执行与技术支持。</w:t>
      </w:r>
    </w:p>
    <w:p w14:paraId="22699DF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服务台/质量部：负责模拟报警、过程记录与效果评估。</w:t>
      </w:r>
    </w:p>
    <w:p w14:paraId="6622EF44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演练内容与类型</w:t>
      </w:r>
    </w:p>
    <w:p w14:paraId="176B359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演练分类</w:t>
      </w:r>
    </w:p>
    <w:p w14:paraId="29909D2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综合演练：涉及多部门、多场景的协同应急演练。</w:t>
      </w:r>
    </w:p>
    <w:p w14:paraId="59D4492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专项演练：针对某一特定类型突发事件（如电力、网络、消防）的演练。</w:t>
      </w:r>
    </w:p>
    <w:p w14:paraId="0096E027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桌面推演：以会议形式对应急流程进行推演与讨论。</w:t>
      </w:r>
    </w:p>
    <w:p w14:paraId="33D9F7BD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核心演练场景方向</w:t>
      </w:r>
    </w:p>
    <w:p w14:paraId="668BAAF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设备故障应急：充电桩、配电设施故障的识别、隔离与抢修。</w:t>
      </w:r>
    </w:p>
    <w:p w14:paraId="4E81C03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电力供应中断应急：外电中断、内部短路等情况的处置与恢复。</w:t>
      </w:r>
    </w:p>
    <w:p w14:paraId="3216D78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网络与系统安全应急：通信中断、平台服务异常、网络攻击的应对。</w:t>
      </w:r>
    </w:p>
    <w:p w14:paraId="44D46E1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消防安全应急：充电车辆或设备起火等初级火灾的扑救与疏散。</w:t>
      </w:r>
    </w:p>
    <w:p w14:paraId="616ED41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环境与灾害应急：防雷、防汛、极端天气的预防与处置。</w:t>
      </w:r>
    </w:p>
    <w:p w14:paraId="31E5702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数据安全与恢复应急：数据丢失、篡改的应对与恢复。</w:t>
      </w:r>
    </w:p>
    <w:p w14:paraId="1D190F7F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演练实施流程</w:t>
      </w:r>
    </w:p>
    <w:p w14:paraId="08C80184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计划阶段</w:t>
      </w:r>
    </w:p>
    <w:p w14:paraId="40921EF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制定年度演练计划。</w:t>
      </w:r>
    </w:p>
    <w:p w14:paraId="317B646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针对特定风险或薄弱环节确定演练主题与场景。</w:t>
      </w:r>
    </w:p>
    <w:p w14:paraId="5061699B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准备阶段</w:t>
      </w:r>
    </w:p>
    <w:p w14:paraId="4C095D96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编制具体的演练脚本与评估标准。</w:t>
      </w:r>
    </w:p>
    <w:p w14:paraId="0307BDB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组织参演人员培训与交底。</w:t>
      </w:r>
    </w:p>
    <w:p w14:paraId="7BB8626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准备必要的装备、物资与通讯工具。</w:t>
      </w:r>
    </w:p>
    <w:p w14:paraId="0CA5D771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执行阶段</w:t>
      </w:r>
    </w:p>
    <w:p w14:paraId="644266C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按脚本启动演练，模拟事件发生。</w:t>
      </w:r>
    </w:p>
    <w:p w14:paraId="5519961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各岗位按应急预案开展信息报告、研判、决策、处置与恢复。</w:t>
      </w:r>
    </w:p>
    <w:p w14:paraId="7AB1A0B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观察员全程记录。</w:t>
      </w:r>
    </w:p>
    <w:p w14:paraId="0A7C12B1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评估与总结阶段</w:t>
      </w:r>
    </w:p>
    <w:p w14:paraId="11F847C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收集分析演练记录。</w:t>
      </w:r>
    </w:p>
    <w:p w14:paraId="6575B822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组织参演与观察人员进行复盘评估。</w:t>
      </w:r>
    </w:p>
    <w:p w14:paraId="0F2B1FD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编制演练总结报告，提出改进措施。</w:t>
      </w:r>
    </w:p>
    <w:p w14:paraId="3A85BD6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必要时修订应急预案。</w:t>
      </w:r>
    </w:p>
    <w:p w14:paraId="49B6A18A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演练频次与要求</w:t>
      </w:r>
    </w:p>
    <w:p w14:paraId="24C7F39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项目在试运行启动后1个月内，应组织首次综合性应急演练。</w:t>
      </w:r>
    </w:p>
    <w:p w14:paraId="62B73C2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质保期内，每</w:t>
      </w:r>
      <w:bookmarkStart w:id="3" w:name="_GoBack"/>
      <w:bookmarkEnd w:id="3"/>
      <w:r>
        <w:rPr>
          <w:rFonts w:hint="default"/>
          <w:lang w:val="en-US" w:eastAsia="zh-CN"/>
        </w:rPr>
        <w:t>年至少组织一次专项演练或桌面推演。</w:t>
      </w:r>
    </w:p>
    <w:p w14:paraId="1C16947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每次重大系统升级或架构变更后，应组织相关专项演练。</w:t>
      </w:r>
    </w:p>
    <w:p w14:paraId="4030416D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演练应尽量避免对充电站正常运营造成实质性影响。</w:t>
      </w:r>
    </w:p>
    <w:p w14:paraId="5513E7AB">
      <w:pPr>
        <w:pStyle w:val="2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附则</w:t>
      </w:r>
    </w:p>
    <w:p w14:paraId="1988BF34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本大纲由盐都区新能源汽车充电站建设项目组负责解释。</w:t>
      </w:r>
    </w:p>
    <w:p w14:paraId="037A780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本大纲自发布之日起执行。</w:t>
      </w:r>
    </w:p>
    <w:p w14:paraId="1AAFDD6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具体演练活动应依据本大纲制定详细的《应急演练计划》或《演练脚本》。</w:t>
      </w:r>
    </w:p>
    <w:sectPr>
      <w:footerReference r:id="rId5" w:type="default"/>
      <w:pgSz w:w="11906" w:h="16839"/>
      <w:pgMar w:top="1431" w:right="1595" w:bottom="1473" w:left="1785" w:header="0" w:footer="12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839DD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91060D"/>
    <w:rsid w:val="02144177"/>
    <w:rsid w:val="02F53218"/>
    <w:rsid w:val="03ED5F26"/>
    <w:rsid w:val="03FE7173"/>
    <w:rsid w:val="04C133B2"/>
    <w:rsid w:val="07B02B10"/>
    <w:rsid w:val="09862E1C"/>
    <w:rsid w:val="09FB69A5"/>
    <w:rsid w:val="0A5126DF"/>
    <w:rsid w:val="0AB35B63"/>
    <w:rsid w:val="0B2E5519"/>
    <w:rsid w:val="0BDE588B"/>
    <w:rsid w:val="0C3737A1"/>
    <w:rsid w:val="0C5B0590"/>
    <w:rsid w:val="0CAF61E6"/>
    <w:rsid w:val="0DA73361"/>
    <w:rsid w:val="104079A4"/>
    <w:rsid w:val="11561326"/>
    <w:rsid w:val="1721492C"/>
    <w:rsid w:val="188D7C5B"/>
    <w:rsid w:val="196B2580"/>
    <w:rsid w:val="1A70446A"/>
    <w:rsid w:val="1BBD74D6"/>
    <w:rsid w:val="1BC81262"/>
    <w:rsid w:val="1C625023"/>
    <w:rsid w:val="1CF55E97"/>
    <w:rsid w:val="1EF26B32"/>
    <w:rsid w:val="20484530"/>
    <w:rsid w:val="21DD7E45"/>
    <w:rsid w:val="22241D36"/>
    <w:rsid w:val="22C34341"/>
    <w:rsid w:val="23E66539"/>
    <w:rsid w:val="246D6B15"/>
    <w:rsid w:val="270D0281"/>
    <w:rsid w:val="28B17A6C"/>
    <w:rsid w:val="2913307B"/>
    <w:rsid w:val="29DA6B40"/>
    <w:rsid w:val="2A414CAB"/>
    <w:rsid w:val="2D7E3C87"/>
    <w:rsid w:val="2DD90EBD"/>
    <w:rsid w:val="2E953036"/>
    <w:rsid w:val="30E052E7"/>
    <w:rsid w:val="31815AF3"/>
    <w:rsid w:val="31872DB7"/>
    <w:rsid w:val="33AF4B9A"/>
    <w:rsid w:val="353115DE"/>
    <w:rsid w:val="37660B99"/>
    <w:rsid w:val="391536F1"/>
    <w:rsid w:val="39921DDC"/>
    <w:rsid w:val="39AA5818"/>
    <w:rsid w:val="3A2D6818"/>
    <w:rsid w:val="3B814871"/>
    <w:rsid w:val="3C19028A"/>
    <w:rsid w:val="3C371BD0"/>
    <w:rsid w:val="3C5A3D43"/>
    <w:rsid w:val="3E4E3201"/>
    <w:rsid w:val="3E854E75"/>
    <w:rsid w:val="3F870779"/>
    <w:rsid w:val="413C5988"/>
    <w:rsid w:val="421D66E1"/>
    <w:rsid w:val="428217D4"/>
    <w:rsid w:val="428E29BD"/>
    <w:rsid w:val="42C729C3"/>
    <w:rsid w:val="448B59E3"/>
    <w:rsid w:val="44FF0DB1"/>
    <w:rsid w:val="46207ACD"/>
    <w:rsid w:val="47B9793D"/>
    <w:rsid w:val="4B3A6FE7"/>
    <w:rsid w:val="4B49722A"/>
    <w:rsid w:val="4D5B476E"/>
    <w:rsid w:val="4F42290E"/>
    <w:rsid w:val="510C31D4"/>
    <w:rsid w:val="56535401"/>
    <w:rsid w:val="5900361E"/>
    <w:rsid w:val="5AF05E41"/>
    <w:rsid w:val="5EC450EE"/>
    <w:rsid w:val="5F9E3142"/>
    <w:rsid w:val="5FB711E9"/>
    <w:rsid w:val="61073070"/>
    <w:rsid w:val="6175345D"/>
    <w:rsid w:val="6241391E"/>
    <w:rsid w:val="633914DA"/>
    <w:rsid w:val="63714E7E"/>
    <w:rsid w:val="63F0428F"/>
    <w:rsid w:val="65635837"/>
    <w:rsid w:val="65A17F37"/>
    <w:rsid w:val="68987CBD"/>
    <w:rsid w:val="693410C2"/>
    <w:rsid w:val="6C066D46"/>
    <w:rsid w:val="6D7A4FB0"/>
    <w:rsid w:val="6DF86AA4"/>
    <w:rsid w:val="70F133F4"/>
    <w:rsid w:val="725D3437"/>
    <w:rsid w:val="74AA46FD"/>
    <w:rsid w:val="74CC21AE"/>
    <w:rsid w:val="776B5CAF"/>
    <w:rsid w:val="7A0768DD"/>
    <w:rsid w:val="7BB5399C"/>
    <w:rsid w:val="7EF0182C"/>
    <w:rsid w:val="7F2826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link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1 Char"/>
    <w:link w:val="26"/>
    <w:qFormat/>
    <w:uiPriority w:val="0"/>
    <w:rPr>
      <w:rFonts w:ascii="Arial" w:hAnsi="Arial" w:eastAsia="宋体"/>
      <w:sz w:val="32"/>
    </w:rPr>
  </w:style>
  <w:style w:type="character" w:customStyle="1" w:styleId="32">
    <w:name w:val="柴_标题3 Char"/>
    <w:link w:val="29"/>
    <w:qFormat/>
    <w:uiPriority w:val="0"/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4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1317</Words>
  <Characters>1392</Characters>
  <Lines>0</Lines>
  <Paragraphs>0</Paragraphs>
  <TotalTime>10</TotalTime>
  <ScaleCrop>false</ScaleCrop>
  <LinksUpToDate>false</LinksUpToDate>
  <CharactersWithSpaces>1435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2025-08-15T15:48:00Z</dcterms:created>
  <dc:creator>杜高明</dc:creator>
  <cp:lastModifiedBy>郝宇</cp:lastModifiedBy>
  <dcterms:modified xsi:type="dcterms:W3CDTF">2026-02-08T15:21:12Z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2025-08-16T03:30:03Z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674D07E3A33845EB81407F71F4A5829D_12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