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5B660">
      <w:pPr>
        <w:pStyle w:val="32"/>
        <w:keepNext w:val="0"/>
        <w:keepLines w:val="0"/>
        <w:pageBreakBefore w:val="0"/>
        <w:widowControl w:val="0"/>
        <w:kinsoku w:val="0"/>
        <w:wordWrap/>
        <w:overflowPunct/>
        <w:topLinePunct w:val="0"/>
        <w:autoSpaceDE w:val="0"/>
        <w:autoSpaceDN w:val="0"/>
        <w:bidi w:val="0"/>
        <w:adjustRightInd w:val="0"/>
        <w:snapToGrid w:val="0"/>
      </w:pPr>
      <w:bookmarkStart w:id="0" w:name="_Toc1482"/>
      <w:bookmarkStart w:id="1" w:name="_Toc25647"/>
    </w:p>
    <w:bookmarkEnd w:id="0"/>
    <w:bookmarkEnd w:id="1"/>
    <w:p w14:paraId="7E9EE602">
      <w:pPr>
        <w:pStyle w:val="32"/>
        <w:keepNext w:val="0"/>
        <w:keepLines w:val="0"/>
        <w:pageBreakBefore w:val="0"/>
        <w:widowControl w:val="0"/>
        <w:kinsoku w:val="0"/>
        <w:wordWrap/>
        <w:overflowPunct/>
        <w:topLinePunct w:val="0"/>
        <w:autoSpaceDE w:val="0"/>
        <w:autoSpaceDN w:val="0"/>
        <w:bidi w:val="0"/>
        <w:adjustRightInd w:val="0"/>
        <w:snapToGrid w:val="0"/>
      </w:pPr>
      <w:bookmarkStart w:id="2" w:name="_Toc21173"/>
      <w:bookmarkStart w:id="3" w:name="_Toc2350"/>
      <w:bookmarkStart w:id="4" w:name="_Toc30149"/>
      <w:r>
        <w:t>运维服务能力管理计划</w:t>
      </w:r>
      <w:bookmarkEnd w:id="2"/>
      <w:bookmarkEnd w:id="3"/>
      <w:bookmarkEnd w:id="4"/>
    </w:p>
    <w:p w14:paraId="6B3DA2C4">
      <w:pPr>
        <w:pStyle w:val="33"/>
        <w:keepNext w:val="0"/>
        <w:keepLines w:val="0"/>
        <w:pageBreakBefore w:val="0"/>
        <w:widowControl w:val="0"/>
        <w:kinsoku w:val="0"/>
        <w:wordWrap/>
        <w:overflowPunct/>
        <w:topLinePunct w:val="0"/>
        <w:autoSpaceDE w:val="0"/>
        <w:autoSpaceDN w:val="0"/>
        <w:bidi w:val="0"/>
        <w:adjustRightInd w:val="0"/>
        <w:snapToGrid w:val="0"/>
      </w:pPr>
      <w:bookmarkStart w:id="5" w:name="_Toc23205"/>
      <w:r>
        <w:t>中达丰集团有限公司</w:t>
      </w:r>
      <w:bookmarkEnd w:id="5"/>
    </w:p>
    <w:p w14:paraId="709A8EF7">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rPr>
          <w:rFonts w:ascii="宋体" w:hAnsi="宋体" w:eastAsia="宋体" w:cs="宋体"/>
          <w:sz w:val="36"/>
          <w:szCs w:val="36"/>
        </w:rPr>
      </w:pPr>
      <w:r>
        <w:rPr>
          <w:rFonts w:ascii="宋体" w:hAnsi="宋体" w:eastAsia="宋体" w:cs="宋体"/>
          <w:spacing w:val="-12"/>
          <w:sz w:val="36"/>
          <w:szCs w:val="36"/>
        </w:rPr>
        <w:t>2025年</w:t>
      </w:r>
      <w:r>
        <w:rPr>
          <w:rFonts w:hint="eastAsia" w:ascii="宋体" w:hAnsi="宋体" w:cs="宋体"/>
          <w:spacing w:val="-48"/>
          <w:sz w:val="36"/>
          <w:szCs w:val="36"/>
          <w:lang w:val="en-US" w:eastAsia="zh-CN"/>
        </w:rPr>
        <w:t>4</w:t>
      </w:r>
      <w:r>
        <w:rPr>
          <w:rFonts w:ascii="宋体" w:hAnsi="宋体" w:eastAsia="宋体" w:cs="宋体"/>
          <w:spacing w:val="-12"/>
          <w:sz w:val="36"/>
          <w:szCs w:val="36"/>
        </w:rPr>
        <w:t>月</w:t>
      </w:r>
      <w:r>
        <w:rPr>
          <w:rFonts w:ascii="宋体" w:hAnsi="宋体" w:eastAsia="宋体" w:cs="宋体"/>
          <w:spacing w:val="-69"/>
          <w:sz w:val="36"/>
          <w:szCs w:val="36"/>
        </w:rPr>
        <w:t xml:space="preserve"> </w:t>
      </w:r>
      <w:r>
        <w:rPr>
          <w:rFonts w:ascii="宋体" w:hAnsi="宋体" w:eastAsia="宋体" w:cs="宋体"/>
          <w:spacing w:val="-12"/>
          <w:sz w:val="36"/>
          <w:szCs w:val="36"/>
        </w:rPr>
        <w:t>3 日</w:t>
      </w:r>
    </w:p>
    <w:p w14:paraId="7F18BE01">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宋体" w:hAnsi="宋体" w:eastAsia="宋体" w:cs="宋体"/>
          <w:sz w:val="36"/>
          <w:szCs w:val="36"/>
        </w:rPr>
        <w:sectPr>
          <w:pgSz w:w="11906" w:h="16839"/>
          <w:pgMar w:top="1431" w:right="1785" w:bottom="0" w:left="1785" w:header="0" w:footer="0" w:gutter="0"/>
          <w:cols w:space="720" w:num="1"/>
        </w:sectPr>
      </w:pPr>
    </w:p>
    <w:p w14:paraId="1DDFBDB1">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3794"/>
        <w:outlineLvl w:val="0"/>
        <w:rPr>
          <w:rFonts w:ascii="宋体" w:hAnsi="宋体" w:eastAsia="宋体" w:cs="宋体"/>
          <w:sz w:val="20"/>
          <w:szCs w:val="20"/>
        </w:rPr>
      </w:pPr>
      <w:bookmarkStart w:id="6" w:name="_Toc2932"/>
      <w:bookmarkStart w:id="7" w:name="_Toc4208"/>
      <w:bookmarkStart w:id="8" w:name="_Toc8957"/>
      <w:r>
        <w:rPr>
          <w:rFonts w:ascii="宋体" w:hAnsi="宋体" w:eastAsia="宋体" w:cs="宋体"/>
          <w:spacing w:val="-2"/>
          <w:sz w:val="20"/>
          <w:szCs w:val="20"/>
        </w:rPr>
        <w:t>文档信息</w:t>
      </w:r>
      <w:bookmarkEnd w:id="6"/>
      <w:bookmarkEnd w:id="7"/>
      <w:bookmarkEnd w:id="8"/>
    </w:p>
    <w:p w14:paraId="216BAF49">
      <w:pPr>
        <w:keepNext w:val="0"/>
        <w:keepLines w:val="0"/>
        <w:pageBreakBefore w:val="0"/>
        <w:widowControl w:val="0"/>
        <w:kinsoku w:val="0"/>
        <w:wordWrap/>
        <w:overflowPunct/>
        <w:topLinePunct w:val="0"/>
        <w:autoSpaceDE w:val="0"/>
        <w:autoSpaceDN w:val="0"/>
        <w:bidi w:val="0"/>
        <w:adjustRightInd w:val="0"/>
        <w:snapToGrid w:val="0"/>
        <w:spacing w:before="228"/>
      </w:pPr>
    </w:p>
    <w:tbl>
      <w:tblPr>
        <w:tblStyle w:val="24"/>
        <w:tblW w:w="8222"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104"/>
      </w:tblGrid>
      <w:tr w14:paraId="1CAAC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563" w:type="dxa"/>
          </w:tcPr>
          <w:p w14:paraId="235D789E">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2"/>
            </w:pPr>
            <w:r>
              <w:rPr>
                <w:spacing w:val="-2"/>
              </w:rPr>
              <w:t>文档名称编号</w:t>
            </w:r>
          </w:p>
        </w:tc>
        <w:tc>
          <w:tcPr>
            <w:tcW w:w="6659" w:type="dxa"/>
            <w:gridSpan w:val="4"/>
          </w:tcPr>
          <w:p w14:paraId="3E25A0BA">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0"/>
            </w:pPr>
            <w:r>
              <w:rPr>
                <w:spacing w:val="-1"/>
              </w:rPr>
              <w:t>运维服务能力管理计划（ZDFJT-ITSS-FWNLGLPL）</w:t>
            </w:r>
          </w:p>
        </w:tc>
      </w:tr>
      <w:tr w14:paraId="538268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66E9BD15">
            <w:pPr>
              <w:pStyle w:val="25"/>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12"/>
            </w:pPr>
            <w:r>
              <w:rPr>
                <w:spacing w:val="-2"/>
              </w:rPr>
              <w:t>编制单位</w:t>
            </w:r>
          </w:p>
        </w:tc>
        <w:tc>
          <w:tcPr>
            <w:tcW w:w="6659" w:type="dxa"/>
            <w:gridSpan w:val="4"/>
          </w:tcPr>
          <w:p w14:paraId="31FE380C">
            <w:pPr>
              <w:pStyle w:val="25"/>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pPr>
            <w:r>
              <w:rPr>
                <w:spacing w:val="-1"/>
              </w:rPr>
              <w:t>中达丰集团有限公司</w:t>
            </w:r>
          </w:p>
        </w:tc>
      </w:tr>
      <w:tr w14:paraId="2FA40D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523CCC31">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2"/>
            </w:pPr>
            <w:r>
              <w:rPr>
                <w:spacing w:val="-2"/>
              </w:rPr>
              <w:t>文档版本</w:t>
            </w:r>
          </w:p>
        </w:tc>
        <w:tc>
          <w:tcPr>
            <w:tcW w:w="1696" w:type="dxa"/>
          </w:tcPr>
          <w:p w14:paraId="2021F1B0">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09"/>
            </w:pPr>
            <w:r>
              <w:rPr>
                <w:spacing w:val="-2"/>
              </w:rPr>
              <w:t>版本日期</w:t>
            </w:r>
          </w:p>
        </w:tc>
        <w:tc>
          <w:tcPr>
            <w:tcW w:w="2302" w:type="dxa"/>
          </w:tcPr>
          <w:p w14:paraId="47BB6737">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1"/>
            </w:pPr>
            <w:r>
              <w:rPr>
                <w:spacing w:val="-2"/>
              </w:rPr>
              <w:t>版本说明</w:t>
            </w:r>
          </w:p>
        </w:tc>
        <w:tc>
          <w:tcPr>
            <w:tcW w:w="1557" w:type="dxa"/>
          </w:tcPr>
          <w:p w14:paraId="60327355">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4"/>
            </w:pPr>
            <w:r>
              <w:rPr>
                <w:spacing w:val="-3"/>
              </w:rPr>
              <w:t>作者</w:t>
            </w:r>
          </w:p>
        </w:tc>
        <w:tc>
          <w:tcPr>
            <w:tcW w:w="1104" w:type="dxa"/>
          </w:tcPr>
          <w:p w14:paraId="5E54F3D8">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5"/>
            </w:pPr>
            <w:r>
              <w:rPr>
                <w:spacing w:val="-5"/>
              </w:rPr>
              <w:t>审核</w:t>
            </w:r>
          </w:p>
        </w:tc>
      </w:tr>
      <w:tr w14:paraId="788636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776A4AC2">
            <w:pPr>
              <w:pStyle w:val="25"/>
              <w:keepNext w:val="0"/>
              <w:keepLines w:val="0"/>
              <w:pageBreakBefore w:val="0"/>
              <w:widowControl w:val="0"/>
              <w:kinsoku w:val="0"/>
              <w:wordWrap/>
              <w:overflowPunct/>
              <w:topLinePunct w:val="0"/>
              <w:autoSpaceDE w:val="0"/>
              <w:autoSpaceDN w:val="0"/>
              <w:bidi w:val="0"/>
              <w:adjustRightInd w:val="0"/>
              <w:snapToGrid w:val="0"/>
              <w:spacing w:before="150" w:line="239" w:lineRule="auto"/>
              <w:ind w:left="106"/>
            </w:pPr>
            <w:r>
              <w:rPr>
                <w:spacing w:val="-1"/>
              </w:rPr>
              <w:t>V1.0</w:t>
            </w:r>
          </w:p>
        </w:tc>
        <w:tc>
          <w:tcPr>
            <w:tcW w:w="1696" w:type="dxa"/>
          </w:tcPr>
          <w:p w14:paraId="2C35791D">
            <w:pPr>
              <w:pStyle w:val="25"/>
              <w:keepNext w:val="0"/>
              <w:keepLines w:val="0"/>
              <w:pageBreakBefore w:val="0"/>
              <w:widowControl w:val="0"/>
              <w:kinsoku w:val="0"/>
              <w:wordWrap/>
              <w:overflowPunct/>
              <w:topLinePunct w:val="0"/>
              <w:autoSpaceDE w:val="0"/>
              <w:autoSpaceDN w:val="0"/>
              <w:bidi w:val="0"/>
              <w:adjustRightInd w:val="0"/>
              <w:snapToGrid w:val="0"/>
              <w:spacing w:before="149"/>
              <w:ind w:left="110"/>
            </w:pPr>
            <w:r>
              <w:rPr>
                <w:spacing w:val="-2"/>
              </w:rPr>
              <w:t>2025-</w:t>
            </w:r>
            <w:r>
              <w:rPr>
                <w:rFonts w:hint="eastAsia"/>
                <w:spacing w:val="-2"/>
                <w:lang w:val="en-US" w:eastAsia="zh-CN"/>
              </w:rPr>
              <w:t>4</w:t>
            </w:r>
            <w:r>
              <w:rPr>
                <w:spacing w:val="-2"/>
              </w:rPr>
              <w:t>-3</w:t>
            </w:r>
          </w:p>
        </w:tc>
        <w:tc>
          <w:tcPr>
            <w:tcW w:w="2302" w:type="dxa"/>
          </w:tcPr>
          <w:p w14:paraId="7710BC4F">
            <w:pPr>
              <w:pStyle w:val="25"/>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113"/>
            </w:pPr>
            <w:r>
              <w:rPr>
                <w:spacing w:val="-3"/>
              </w:rPr>
              <w:t>发布版本</w:t>
            </w:r>
          </w:p>
        </w:tc>
        <w:tc>
          <w:tcPr>
            <w:tcW w:w="1557" w:type="dxa"/>
          </w:tcPr>
          <w:p w14:paraId="2A25D25D">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16"/>
            </w:pPr>
            <w:r>
              <w:rPr>
                <w:spacing w:val="-3"/>
              </w:rPr>
              <w:t>肖龙莽</w:t>
            </w:r>
          </w:p>
        </w:tc>
        <w:tc>
          <w:tcPr>
            <w:tcW w:w="1104" w:type="dxa"/>
          </w:tcPr>
          <w:p w14:paraId="702F5201">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20"/>
            </w:pPr>
            <w:r>
              <w:rPr>
                <w:spacing w:val="-3"/>
              </w:rPr>
              <w:t>吴向阳</w:t>
            </w:r>
          </w:p>
        </w:tc>
      </w:tr>
      <w:tr w14:paraId="303BD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7" w:hRule="atLeast"/>
        </w:trPr>
        <w:tc>
          <w:tcPr>
            <w:tcW w:w="1563" w:type="dxa"/>
          </w:tcPr>
          <w:p w14:paraId="6B30440E">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68CA728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1A01C0E6">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158AA300">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691DA5F9">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3BC6F9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3C10B5A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7362088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535A69C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2589117D">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6D8DA4C7">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200F90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7CE84514">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177998E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5B44EDB1">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35DACA1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68FB0FA2">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bl>
    <w:p w14:paraId="596C6B00">
      <w:pPr>
        <w:pStyle w:val="12"/>
        <w:keepNext w:val="0"/>
        <w:keepLines w:val="0"/>
        <w:pageBreakBefore w:val="0"/>
        <w:widowControl w:val="0"/>
        <w:kinsoku w:val="0"/>
        <w:wordWrap/>
        <w:overflowPunct/>
        <w:topLinePunct w:val="0"/>
        <w:autoSpaceDE w:val="0"/>
        <w:autoSpaceDN w:val="0"/>
        <w:bidi w:val="0"/>
        <w:adjustRightInd w:val="0"/>
        <w:snapToGrid w:val="0"/>
      </w:pPr>
    </w:p>
    <w:p w14:paraId="4076A15C">
      <w:pPr>
        <w:keepNext w:val="0"/>
        <w:keepLines w:val="0"/>
        <w:pageBreakBefore w:val="0"/>
        <w:widowControl w:val="0"/>
        <w:kinsoku w:val="0"/>
        <w:wordWrap/>
        <w:overflowPunct/>
        <w:topLinePunct w:val="0"/>
        <w:autoSpaceDE w:val="0"/>
        <w:autoSpaceDN w:val="0"/>
        <w:bidi w:val="0"/>
        <w:adjustRightInd w:val="0"/>
        <w:snapToGrid w:val="0"/>
        <w:sectPr>
          <w:footerReference r:id="rId5" w:type="default"/>
          <w:pgSz w:w="11906" w:h="16839"/>
          <w:pgMar w:top="1349" w:right="1767" w:bottom="1223" w:left="1768" w:header="0" w:footer="1218" w:gutter="0"/>
          <w:cols w:space="720" w:num="1"/>
        </w:sectPr>
      </w:pPr>
    </w:p>
    <w:sdt>
      <w:sdtPr>
        <w:rPr>
          <w:rFonts w:ascii="宋体" w:hAnsi="宋体" w:eastAsia="宋体" w:cs="Arial"/>
          <w:snapToGrid w:val="0"/>
          <w:color w:val="000000"/>
          <w:kern w:val="0"/>
          <w:sz w:val="21"/>
          <w:szCs w:val="21"/>
          <w:lang w:val="en-US" w:eastAsia="en-US" w:bidi="ar-SA"/>
        </w:rPr>
        <w:id w:val="147466092"/>
        <w:docPartObj>
          <w:docPartGallery w:val="Table of Contents"/>
          <w:docPartUnique/>
        </w:docPartObj>
      </w:sdtPr>
      <w:sdtEndPr>
        <w:rPr>
          <w:rFonts w:hint="eastAsia" w:ascii="Microsoft JhengHei" w:hAnsi="Microsoft JhengHei" w:eastAsia="Microsoft JhengHei" w:cs="Microsoft JhengHei"/>
          <w:snapToGrid w:val="0"/>
          <w:color w:val="000000"/>
          <w:kern w:val="0"/>
          <w:sz w:val="21"/>
          <w:szCs w:val="24"/>
          <w:lang w:val="en-US" w:eastAsia="en-US" w:bidi="ar-SA"/>
        </w:rPr>
      </w:sdtEndPr>
      <w:sdtContent>
        <w:p w14:paraId="394AEE2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64016983">
          <w:pPr>
            <w:pStyle w:val="16"/>
            <w:tabs>
              <w:tab w:val="right" w:leader="dot" w:pos="8371"/>
            </w:tabs>
          </w:pPr>
          <w:r>
            <w:rPr>
              <w:rFonts w:hint="eastAsia" w:ascii="Microsoft JhengHei" w:hAnsi="Microsoft JhengHei" w:eastAsia="Microsoft JhengHei" w:cs="Microsoft JhengHei"/>
              <w:snapToGrid w:val="0"/>
              <w:color w:val="000000"/>
              <w:kern w:val="0"/>
              <w:sz w:val="24"/>
              <w:szCs w:val="24"/>
              <w:lang w:val="en-US" w:eastAsia="en-US" w:bidi="ar-SA"/>
            </w:rPr>
            <w:fldChar w:fldCharType="begin"/>
          </w:r>
          <w:r>
            <w:rPr>
              <w:rFonts w:hint="eastAsia" w:ascii="Microsoft JhengHei" w:hAnsi="Microsoft JhengHei" w:eastAsia="Microsoft JhengHei" w:cs="Microsoft JhengHei"/>
              <w:snapToGrid w:val="0"/>
              <w:color w:val="000000"/>
              <w:kern w:val="0"/>
              <w:sz w:val="24"/>
              <w:szCs w:val="24"/>
              <w:lang w:val="en-US" w:eastAsia="en-US" w:bidi="ar-SA"/>
            </w:rPr>
            <w:instrText xml:space="preserve">TOC \o "1-3" \h \u </w:instrText>
          </w:r>
          <w:r>
            <w:rPr>
              <w:rFonts w:hint="eastAsia" w:ascii="Microsoft JhengHei" w:hAnsi="Microsoft JhengHei" w:eastAsia="Microsoft JhengHei" w:cs="Microsoft JhengHei"/>
              <w:snapToGrid w:val="0"/>
              <w:color w:val="000000"/>
              <w:kern w:val="0"/>
              <w:sz w:val="24"/>
              <w:szCs w:val="24"/>
              <w:lang w:val="en-US" w:eastAsia="en-US" w:bidi="ar-SA"/>
            </w:rPr>
            <w:fldChar w:fldCharType="separate"/>
          </w: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_Toc30149 </w:instrText>
          </w:r>
          <w:r>
            <w:rPr>
              <w:rFonts w:hint="eastAsia" w:ascii="Microsoft JhengHei" w:hAnsi="Microsoft JhengHei" w:eastAsia="Microsoft JhengHei" w:cs="Microsoft JhengHei"/>
              <w:snapToGrid w:val="0"/>
              <w:kern w:val="0"/>
              <w:szCs w:val="24"/>
              <w:lang w:val="en-US" w:eastAsia="en-US" w:bidi="ar-SA"/>
            </w:rPr>
            <w:fldChar w:fldCharType="separate"/>
          </w:r>
          <w:r>
            <w:t>运维服务能力管理计划</w:t>
          </w:r>
          <w:r>
            <w:tab/>
          </w:r>
          <w:r>
            <w:fldChar w:fldCharType="begin"/>
          </w:r>
          <w:r>
            <w:instrText xml:space="preserve"> PAGEREF _Toc30149 \h </w:instrText>
          </w:r>
          <w:r>
            <w:fldChar w:fldCharType="separate"/>
          </w:r>
          <w:r>
            <w:t>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AD0721C">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_Toc23205 </w:instrText>
          </w:r>
          <w:r>
            <w:rPr>
              <w:rFonts w:hint="eastAsia" w:ascii="Microsoft JhengHei" w:hAnsi="Microsoft JhengHei" w:eastAsia="Microsoft JhengHei" w:cs="Microsoft JhengHei"/>
              <w:snapToGrid w:val="0"/>
              <w:kern w:val="0"/>
              <w:szCs w:val="24"/>
              <w:lang w:val="en-US" w:eastAsia="en-US" w:bidi="ar-SA"/>
            </w:rPr>
            <w:fldChar w:fldCharType="separate"/>
          </w:r>
          <w:r>
            <w:t>中达丰集团有限公司</w:t>
          </w:r>
          <w:r>
            <w:tab/>
          </w:r>
          <w:r>
            <w:fldChar w:fldCharType="begin"/>
          </w:r>
          <w:r>
            <w:instrText xml:space="preserve"> PAGEREF _Toc23205 \h </w:instrText>
          </w:r>
          <w:r>
            <w:fldChar w:fldCharType="separate"/>
          </w:r>
          <w:r>
            <w:t>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D8D5137">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_Toc8957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ascii="宋体" w:hAnsi="宋体" w:eastAsia="宋体" w:cs="宋体"/>
              <w:spacing w:val="-2"/>
              <w:szCs w:val="20"/>
            </w:rPr>
            <w:t>文档信息</w:t>
          </w:r>
          <w:r>
            <w:tab/>
          </w:r>
          <w:r>
            <w:fldChar w:fldCharType="begin"/>
          </w:r>
          <w:r>
            <w:instrText xml:space="preserve"> PAGEREF _Toc8957 \h </w:instrText>
          </w:r>
          <w:r>
            <w:fldChar w:fldCharType="separate"/>
          </w:r>
          <w:r>
            <w:t>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EE6A2CF">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_Toc12347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1. </w:t>
          </w:r>
          <w:r>
            <w:t>概要说明</w:t>
          </w:r>
          <w:r>
            <w:tab/>
          </w:r>
          <w:r>
            <w:fldChar w:fldCharType="begin"/>
          </w:r>
          <w:r>
            <w:instrText xml:space="preserve"> PAGEREF _Toc12347 \h </w:instrText>
          </w:r>
          <w:r>
            <w:fldChar w:fldCharType="separate"/>
          </w:r>
          <w:r>
            <w:t>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C1B674B">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_Toc13347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2. </w:t>
          </w:r>
          <w:r>
            <w:t>年度目标</w:t>
          </w:r>
          <w:r>
            <w:tab/>
          </w:r>
          <w:r>
            <w:fldChar w:fldCharType="begin"/>
          </w:r>
          <w:r>
            <w:instrText xml:space="preserve"> PAGEREF _Toc13347 \h </w:instrText>
          </w:r>
          <w:r>
            <w:fldChar w:fldCharType="separate"/>
          </w:r>
          <w:r>
            <w:t>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0B79717">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_Toc18998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 </w:t>
          </w:r>
          <w:r>
            <w:t>人员方面</w:t>
          </w:r>
          <w:r>
            <w:tab/>
          </w:r>
          <w:r>
            <w:fldChar w:fldCharType="begin"/>
          </w:r>
          <w:r>
            <w:instrText xml:space="preserve"> PAGEREF _Toc18998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74C8051">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_Toc29833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3.1. </w:t>
          </w:r>
          <w:r>
            <w:t>现状分析</w:t>
          </w:r>
          <w:r>
            <w:tab/>
          </w:r>
          <w:r>
            <w:fldChar w:fldCharType="begin"/>
          </w:r>
          <w:r>
            <w:instrText xml:space="preserve"> PAGEREF _Toc29833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C7839B0">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_Toc31258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3.2. </w:t>
          </w:r>
          <w:r>
            <w:rPr>
              <w:rFonts w:hint="eastAsia"/>
              <w:lang w:val="en-US" w:eastAsia="zh-CN"/>
            </w:rPr>
            <w:t>改进目标</w:t>
          </w:r>
          <w:r>
            <w:tab/>
          </w:r>
          <w:r>
            <w:fldChar w:fldCharType="begin"/>
          </w:r>
          <w:r>
            <w:instrText xml:space="preserve"> PAGEREF _Toc31258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0420FAD">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_Toc15675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 </w:t>
          </w:r>
          <w:r>
            <w:rPr>
              <w:rFonts w:hint="eastAsia"/>
              <w:lang w:val="en-US" w:eastAsia="zh-CN"/>
            </w:rPr>
            <w:t>实施计划</w:t>
          </w:r>
          <w:r>
            <w:tab/>
          </w:r>
          <w:r>
            <w:fldChar w:fldCharType="begin"/>
          </w:r>
          <w:r>
            <w:instrText xml:space="preserve"> PAGEREF _Toc15675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5F811CB">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_Toc5134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3.3.1. </w:t>
          </w:r>
          <w:r>
            <w:t>人员</w:t>
          </w:r>
          <w:r>
            <w:rPr>
              <w:rFonts w:hint="eastAsia"/>
              <w:lang w:val="en-US" w:eastAsia="zh-CN"/>
            </w:rPr>
            <w:t>招聘</w:t>
          </w:r>
          <w:r>
            <w:tab/>
          </w:r>
          <w:r>
            <w:fldChar w:fldCharType="begin"/>
          </w:r>
          <w:r>
            <w:instrText xml:space="preserve"> PAGEREF _Toc5134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BE149D0">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_Toc7138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3.3.2. </w:t>
          </w:r>
          <w:r>
            <w:rPr>
              <w:rFonts w:hint="eastAsia"/>
              <w:lang w:val="en-US" w:eastAsia="zh-CN"/>
            </w:rPr>
            <w:t>人员储备计划</w:t>
          </w:r>
          <w:r>
            <w:tab/>
          </w:r>
          <w:r>
            <w:fldChar w:fldCharType="begin"/>
          </w:r>
          <w:r>
            <w:instrText xml:space="preserve"> PAGEREF _Toc7138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67B9490">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_Toc22703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3.3.3. </w:t>
          </w:r>
          <w:r>
            <w:t>人员培训</w:t>
          </w:r>
          <w:r>
            <w:tab/>
          </w:r>
          <w:r>
            <w:fldChar w:fldCharType="begin"/>
          </w:r>
          <w:r>
            <w:instrText xml:space="preserve"> PAGEREF _Toc22703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4CC9AB8">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_Toc31193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3.3.4. </w:t>
          </w:r>
          <w:r>
            <w:rPr>
              <w:rFonts w:hint="eastAsia"/>
              <w:lang w:val="en-US" w:eastAsia="zh-CN"/>
            </w:rPr>
            <w:t>备份计划</w:t>
          </w:r>
          <w:r>
            <w:tab/>
          </w:r>
          <w:r>
            <w:fldChar w:fldCharType="begin"/>
          </w:r>
          <w:r>
            <w:instrText xml:space="preserve"> PAGEREF _Toc31193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A8AF6B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_Toc21080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3.3.5. </w:t>
          </w:r>
          <w:r>
            <w:t>绩效考核</w:t>
          </w:r>
          <w:r>
            <w:tab/>
          </w:r>
          <w:r>
            <w:fldChar w:fldCharType="begin"/>
          </w:r>
          <w:r>
            <w:instrText xml:space="preserve"> PAGEREF _Toc21080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BA6D892">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_Toc3283 </w:instrText>
          </w:r>
          <w:r>
            <w:rPr>
              <w:rFonts w:hint="eastAsia" w:ascii="Microsoft JhengHei" w:hAnsi="Microsoft JhengHei" w:eastAsia="Microsoft JhengHei" w:cs="Microsoft JhengHei"/>
              <w:snapToGrid w:val="0"/>
              <w:kern w:val="0"/>
              <w:szCs w:val="24"/>
              <w:lang w:val="en-US" w:eastAsia="en-US" w:bidi="ar-SA"/>
            </w:rPr>
            <w:fldChar w:fldCharType="separate"/>
          </w:r>
          <w:r>
            <w:rPr>
              <w:szCs w:val="24"/>
            </w:rPr>
            <w:t>3</w:t>
          </w:r>
          <w:r>
            <w:tab/>
          </w:r>
          <w:r>
            <w:fldChar w:fldCharType="begin"/>
          </w:r>
          <w:r>
            <w:instrText xml:space="preserve"> PAGEREF _Toc3283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49CA5FD">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_Toc27050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3.3.6. </w:t>
          </w:r>
          <w:r>
            <w:rPr>
              <w:rFonts w:hint="eastAsia"/>
              <w:lang w:val="en-US" w:eastAsia="zh-CN"/>
            </w:rPr>
            <w:t>技能评价</w:t>
          </w:r>
          <w:r>
            <w:tab/>
          </w:r>
          <w:r>
            <w:fldChar w:fldCharType="begin"/>
          </w:r>
          <w:r>
            <w:instrText xml:space="preserve"> PAGEREF _Toc27050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D5C4CB0">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_Toc26048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 </w:t>
          </w:r>
          <w:r>
            <w:t>资源方面</w:t>
          </w:r>
          <w:r>
            <w:tab/>
          </w:r>
          <w:r>
            <w:fldChar w:fldCharType="begin"/>
          </w:r>
          <w:r>
            <w:instrText xml:space="preserve"> PAGEREF _Toc26048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0C6EF7A">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_Toc21341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4.1. </w:t>
          </w:r>
          <w:r>
            <w:t>现状分析</w:t>
          </w:r>
          <w:r>
            <w:tab/>
          </w:r>
          <w:r>
            <w:fldChar w:fldCharType="begin"/>
          </w:r>
          <w:r>
            <w:instrText xml:space="preserve"> PAGEREF _Toc21341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6D9E816">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_Toc22488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 </w:t>
          </w:r>
          <w:r>
            <w:rPr>
              <w:rFonts w:hint="eastAsia"/>
              <w:lang w:val="en-US" w:eastAsia="zh-CN"/>
            </w:rPr>
            <w:t>改进目标</w:t>
          </w:r>
          <w:r>
            <w:tab/>
          </w:r>
          <w:r>
            <w:fldChar w:fldCharType="begin"/>
          </w:r>
          <w:r>
            <w:instrText xml:space="preserve"> PAGEREF _Toc22488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BD4CEF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_Toc18853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4.2.1. </w:t>
          </w:r>
          <w:r>
            <w:t>运维工具</w:t>
          </w:r>
          <w:r>
            <w:tab/>
          </w:r>
          <w:r>
            <w:fldChar w:fldCharType="begin"/>
          </w:r>
          <w:r>
            <w:instrText xml:space="preserve"> PAGEREF _Toc18853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AEEC9FC">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4.2.2. </w:t>
          </w:r>
          <w:r>
            <w:t>服务台建设</w:t>
          </w:r>
          <w:r>
            <w:tab/>
          </w:r>
          <w:r>
            <w:fldChar w:fldCharType="begin"/>
          </w:r>
          <w:r>
            <w:instrText xml:space="preserve"> PAGEREF _Toc239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F1026F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_Toc21935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4.2.3. </w:t>
          </w:r>
          <w:r>
            <w:t>备品备件</w:t>
          </w:r>
          <w:r>
            <w:tab/>
          </w:r>
          <w:r>
            <w:fldChar w:fldCharType="begin"/>
          </w:r>
          <w:r>
            <w:instrText xml:space="preserve"> PAGEREF _Toc21935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72C886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_Toc17795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4.2.4. </w:t>
          </w:r>
          <w:r>
            <w:rPr>
              <w:rFonts w:hint="eastAsia"/>
              <w:lang w:val="en-US" w:eastAsia="zh-CN"/>
            </w:rPr>
            <w:t>服务</w:t>
          </w:r>
          <w:r>
            <w:t>知识</w:t>
          </w:r>
          <w:r>
            <w:tab/>
          </w:r>
          <w:r>
            <w:fldChar w:fldCharType="begin"/>
          </w:r>
          <w:r>
            <w:instrText xml:space="preserve"> PAGEREF _Toc17795 \h </w:instrText>
          </w:r>
          <w:r>
            <w:fldChar w:fldCharType="separate"/>
          </w:r>
          <w:r>
            <w:t>11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C61B2E9">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_Toc20988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4.2.5. </w:t>
          </w:r>
          <w:r>
            <w:rPr>
              <w:rFonts w:hint="eastAsia"/>
              <w:lang w:val="en-US" w:eastAsia="zh-CN"/>
            </w:rPr>
            <w:t>最终软件库</w:t>
          </w:r>
          <w:r>
            <w:tab/>
          </w:r>
          <w:r>
            <w:fldChar w:fldCharType="begin"/>
          </w:r>
          <w:r>
            <w:instrText xml:space="preserve"> PAGEREF _Toc20988 \h </w:instrText>
          </w:r>
          <w:r>
            <w:fldChar w:fldCharType="separate"/>
          </w:r>
          <w:r>
            <w:t>11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3EA4FC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_Toc26147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_Toc26147 \h </w:instrText>
          </w:r>
          <w:r>
            <w:fldChar w:fldCharType="separate"/>
          </w:r>
          <w:r>
            <w:t>11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D59E6ED">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_Toc21671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4.3. </w:t>
          </w:r>
          <w:r>
            <w:rPr>
              <w:rFonts w:hint="eastAsia"/>
              <w:lang w:val="en-US" w:eastAsia="zh-CN"/>
            </w:rPr>
            <w:t>实施计划</w:t>
          </w:r>
          <w:r>
            <w:tab/>
          </w:r>
          <w:r>
            <w:fldChar w:fldCharType="begin"/>
          </w:r>
          <w:r>
            <w:instrText xml:space="preserve"> PAGEREF _Toc21671 \h </w:instrText>
          </w:r>
          <w:r>
            <w:fldChar w:fldCharType="separate"/>
          </w:r>
          <w:r>
            <w:t>11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70643BE">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_Toc16670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 </w:t>
          </w:r>
          <w:r>
            <w:t>技术方面</w:t>
          </w:r>
          <w:r>
            <w:tab/>
          </w:r>
          <w:r>
            <w:fldChar w:fldCharType="begin"/>
          </w:r>
          <w:r>
            <w:instrText xml:space="preserve"> PAGEREF _Toc16670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7BECCE7">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_Toc26847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5.1. </w:t>
          </w:r>
          <w:r>
            <w:t>现状分析</w:t>
          </w:r>
          <w:r>
            <w:tab/>
          </w:r>
          <w:r>
            <w:fldChar w:fldCharType="begin"/>
          </w:r>
          <w:r>
            <w:instrText xml:space="preserve"> PAGEREF _Toc26847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AF96184">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_Toc10909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5.2. </w:t>
          </w:r>
          <w:r>
            <w:rPr>
              <w:rFonts w:hint="eastAsia"/>
              <w:lang w:val="en-US" w:eastAsia="zh-CN"/>
            </w:rPr>
            <w:t>改进目标</w:t>
          </w:r>
          <w:r>
            <w:tab/>
          </w:r>
          <w:r>
            <w:fldChar w:fldCharType="begin"/>
          </w:r>
          <w:r>
            <w:instrText xml:space="preserve"> PAGEREF _Toc10909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3D7B6F5">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_Toc30994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5.3. </w:t>
          </w:r>
          <w:r>
            <w:rPr>
              <w:rFonts w:hint="eastAsia"/>
              <w:lang w:val="en-US" w:eastAsia="zh-CN"/>
            </w:rPr>
            <w:t>实施计划</w:t>
          </w:r>
          <w:r>
            <w:tab/>
          </w:r>
          <w:r>
            <w:fldChar w:fldCharType="begin"/>
          </w:r>
          <w:r>
            <w:instrText xml:space="preserve"> PAGEREF _Toc30994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EC88C07">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_Toc22162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 </w:t>
          </w:r>
          <w:r>
            <w:t>过程体系方面</w:t>
          </w:r>
          <w:r>
            <w:tab/>
          </w:r>
          <w:r>
            <w:fldChar w:fldCharType="begin"/>
          </w:r>
          <w:r>
            <w:instrText xml:space="preserve"> PAGEREF _Toc22162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D1D1FB5">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_Toc6053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6.1. </w:t>
          </w:r>
          <w:r>
            <w:t>现状分析</w:t>
          </w:r>
          <w:r>
            <w:tab/>
          </w:r>
          <w:r>
            <w:fldChar w:fldCharType="begin"/>
          </w:r>
          <w:r>
            <w:instrText xml:space="preserve"> PAGEREF _Toc6053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488A662">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_Toc27429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 </w:t>
          </w:r>
          <w:r>
            <w:t>改进目标</w:t>
          </w:r>
          <w:r>
            <w:tab/>
          </w:r>
          <w:r>
            <w:fldChar w:fldCharType="begin"/>
          </w:r>
          <w:r>
            <w:instrText xml:space="preserve"> PAGEREF _Toc27429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98F5285">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_Toc552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6.2.1. </w:t>
          </w:r>
          <w:r>
            <w:rPr>
              <w:rFonts w:hint="eastAsia"/>
              <w:lang w:val="en-US" w:eastAsia="zh-CN"/>
            </w:rPr>
            <w:t>过程框架设计</w:t>
          </w:r>
          <w:r>
            <w:tab/>
          </w:r>
          <w:r>
            <w:fldChar w:fldCharType="begin"/>
          </w:r>
          <w:r>
            <w:instrText xml:space="preserve"> PAGEREF _Toc552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2098DE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_Toc18312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6.2.2. </w:t>
          </w:r>
          <w:r>
            <w:t>服务级别管理</w:t>
          </w:r>
          <w:r>
            <w:tab/>
          </w:r>
          <w:r>
            <w:fldChar w:fldCharType="begin"/>
          </w:r>
          <w:r>
            <w:instrText xml:space="preserve"> PAGEREF _Toc18312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04E2868">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_Toc23395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6.2.3. </w:t>
          </w:r>
          <w:r>
            <w:t>服务报告管理</w:t>
          </w:r>
          <w:r>
            <w:tab/>
          </w:r>
          <w:r>
            <w:fldChar w:fldCharType="begin"/>
          </w:r>
          <w:r>
            <w:instrText xml:space="preserve"> PAGEREF _Toc23395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8A01562">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_Toc10831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6.2.4. </w:t>
          </w:r>
          <w:r>
            <w:t>事件管理</w:t>
          </w:r>
          <w:r>
            <w:tab/>
          </w:r>
          <w:r>
            <w:fldChar w:fldCharType="begin"/>
          </w:r>
          <w:r>
            <w:instrText xml:space="preserve"> PAGEREF _Toc10831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7DE8D03">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_Toc15038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6.2.5. </w:t>
          </w:r>
          <w:r>
            <w:t>问题管理</w:t>
          </w:r>
          <w:r>
            <w:tab/>
          </w:r>
          <w:r>
            <w:fldChar w:fldCharType="begin"/>
          </w:r>
          <w:r>
            <w:instrText xml:space="preserve"> PAGEREF _Toc15038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7219E75">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_Toc31693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6.2.6. </w:t>
          </w:r>
          <w:r>
            <w:t>变更管理</w:t>
          </w:r>
          <w:r>
            <w:tab/>
          </w:r>
          <w:r>
            <w:fldChar w:fldCharType="begin"/>
          </w:r>
          <w:r>
            <w:instrText xml:space="preserve"> PAGEREF _Toc31693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7CB27B8">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_Toc25534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6.2.7. </w:t>
          </w:r>
          <w:r>
            <w:t>发布</w:t>
          </w:r>
          <w:r>
            <w:rPr>
              <w:rFonts w:hint="eastAsia"/>
              <w:lang w:val="en-US" w:eastAsia="zh-CN"/>
            </w:rPr>
            <w:t>管理</w:t>
          </w:r>
          <w:r>
            <w:tab/>
          </w:r>
          <w:r>
            <w:fldChar w:fldCharType="begin"/>
          </w:r>
          <w:r>
            <w:instrText xml:space="preserve"> PAGEREF _Toc25534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CF23F97">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_Toc25597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6.2.8. </w:t>
          </w:r>
          <w:r>
            <w:rPr>
              <w:rFonts w:hint="eastAsia"/>
              <w:lang w:val="en-US" w:eastAsia="zh-CN"/>
            </w:rPr>
            <w:t>配置</w:t>
          </w:r>
          <w:r>
            <w:t>管理</w:t>
          </w:r>
          <w:r>
            <w:tab/>
          </w:r>
          <w:r>
            <w:fldChar w:fldCharType="begin"/>
          </w:r>
          <w:r>
            <w:instrText xml:space="preserve"> PAGEREF _Toc25597 \h </w:instrText>
          </w:r>
          <w:r>
            <w:fldChar w:fldCharType="separate"/>
          </w:r>
          <w:r>
            <w:t>16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3B683F9">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_Toc20156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6.2.9. </w:t>
          </w:r>
          <w:r>
            <w:rPr>
              <w:rFonts w:hint="eastAsia"/>
              <w:lang w:val="en-US" w:eastAsia="zh-CN"/>
            </w:rPr>
            <w:t>服务可用性和连续性管理</w:t>
          </w:r>
          <w:r>
            <w:tab/>
          </w:r>
          <w:r>
            <w:fldChar w:fldCharType="begin"/>
          </w:r>
          <w:r>
            <w:instrText xml:space="preserve"> PAGEREF _Toc20156 \h </w:instrText>
          </w:r>
          <w:r>
            <w:fldChar w:fldCharType="separate"/>
          </w:r>
          <w:r>
            <w:t>16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C56B621">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_Toc20731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6.2.10. </w:t>
          </w:r>
          <w:r>
            <w:rPr>
              <w:rFonts w:hint="eastAsia"/>
              <w:lang w:val="en-US" w:eastAsia="zh-CN"/>
            </w:rPr>
            <w:t>容量管理</w:t>
          </w:r>
          <w:r>
            <w:tab/>
          </w:r>
          <w:r>
            <w:fldChar w:fldCharType="begin"/>
          </w:r>
          <w:r>
            <w:instrText xml:space="preserve"> PAGEREF _Toc20731 \h </w:instrText>
          </w:r>
          <w:r>
            <w:fldChar w:fldCharType="separate"/>
          </w:r>
          <w:r>
            <w:t>16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71A8B0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_Toc13309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6.2.11. </w:t>
          </w:r>
          <w:r>
            <w:t>信息安全管理</w:t>
          </w:r>
          <w:r>
            <w:tab/>
          </w:r>
          <w:r>
            <w:fldChar w:fldCharType="begin"/>
          </w:r>
          <w:r>
            <w:instrText xml:space="preserve"> PAGEREF _Toc13309 \h </w:instrText>
          </w:r>
          <w:r>
            <w:fldChar w:fldCharType="separate"/>
          </w:r>
          <w:r>
            <w:t>16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F9AE061">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_Toc31269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6.3. </w:t>
          </w:r>
          <w:r>
            <w:t>实施计划</w:t>
          </w:r>
          <w:r>
            <w:tab/>
          </w:r>
          <w:r>
            <w:fldChar w:fldCharType="begin"/>
          </w:r>
          <w:r>
            <w:instrText xml:space="preserve"> PAGEREF _Toc31269 \h </w:instrText>
          </w:r>
          <w:r>
            <w:fldChar w:fldCharType="separate"/>
          </w:r>
          <w:r>
            <w:t>17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A87CF7B">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_Toc5328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 </w:t>
          </w:r>
          <w:r>
            <w:t>交付管理</w:t>
          </w:r>
          <w:r>
            <w:tab/>
          </w:r>
          <w:r>
            <w:fldChar w:fldCharType="begin"/>
          </w:r>
          <w:r>
            <w:instrText xml:space="preserve"> PAGEREF _Toc5328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2345F5E">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_Toc3414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7.1. </w:t>
          </w:r>
          <w:r>
            <w:t>现状分析</w:t>
          </w:r>
          <w:r>
            <w:tab/>
          </w:r>
          <w:r>
            <w:fldChar w:fldCharType="begin"/>
          </w:r>
          <w:r>
            <w:instrText xml:space="preserve"> PAGEREF _Toc3414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BD1206B">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_Toc23139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7.2. </w:t>
          </w:r>
          <w:r>
            <w:t>改进目标</w:t>
          </w:r>
          <w:r>
            <w:tab/>
          </w:r>
          <w:r>
            <w:fldChar w:fldCharType="begin"/>
          </w:r>
          <w:r>
            <w:instrText xml:space="preserve"> PAGEREF _Toc23139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C8BF61D">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_Toc24277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7.3. </w:t>
          </w:r>
          <w:r>
            <w:t>实施计划</w:t>
          </w:r>
          <w:r>
            <w:tab/>
          </w:r>
          <w:r>
            <w:fldChar w:fldCharType="begin"/>
          </w:r>
          <w:r>
            <w:instrText xml:space="preserve"> PAGEREF _Toc24277 \h </w:instrText>
          </w:r>
          <w:r>
            <w:fldChar w:fldCharType="separate"/>
          </w:r>
          <w:r>
            <w:t>22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9DA351E">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_Toc8292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 </w:t>
          </w:r>
          <w:r>
            <w:t>应急响应</w:t>
          </w:r>
          <w:r>
            <w:tab/>
          </w:r>
          <w:r>
            <w:fldChar w:fldCharType="begin"/>
          </w:r>
          <w:r>
            <w:instrText xml:space="preserve"> PAGEREF _Toc8292 \h </w:instrText>
          </w:r>
          <w:r>
            <w:fldChar w:fldCharType="separate"/>
          </w:r>
          <w:r>
            <w:t>22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D5ED9A9">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_Toc31220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8.1. </w:t>
          </w:r>
          <w:r>
            <w:t>现状分析</w:t>
          </w:r>
          <w:r>
            <w:tab/>
          </w:r>
          <w:r>
            <w:fldChar w:fldCharType="begin"/>
          </w:r>
          <w:r>
            <w:instrText xml:space="preserve"> PAGEREF _Toc31220 \h </w:instrText>
          </w:r>
          <w:r>
            <w:fldChar w:fldCharType="separate"/>
          </w:r>
          <w:r>
            <w:t>22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B1A491B">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_Toc12731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8.2. </w:t>
          </w:r>
          <w:r>
            <w:t>改进目标</w:t>
          </w:r>
          <w:r>
            <w:tab/>
          </w:r>
          <w:r>
            <w:fldChar w:fldCharType="begin"/>
          </w:r>
          <w:r>
            <w:instrText xml:space="preserve"> PAGEREF _Toc12731 \h </w:instrText>
          </w:r>
          <w:r>
            <w:fldChar w:fldCharType="separate"/>
          </w:r>
          <w:r>
            <w:t>22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4FF2609">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_Toc8052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8.3. </w:t>
          </w:r>
          <w:r>
            <w:t>实施计划</w:t>
          </w:r>
          <w:r>
            <w:tab/>
          </w:r>
          <w:r>
            <w:fldChar w:fldCharType="begin"/>
          </w:r>
          <w:r>
            <w:instrText xml:space="preserve"> PAGEREF _Toc8052 \h </w:instrText>
          </w:r>
          <w:r>
            <w:fldChar w:fldCharType="separate"/>
          </w:r>
          <w:r>
            <w:t>22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17EF3A0">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_Toc12238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 </w:t>
          </w:r>
          <w:r>
            <w:t>质量管理</w:t>
          </w:r>
          <w:r>
            <w:tab/>
          </w:r>
          <w:r>
            <w:fldChar w:fldCharType="begin"/>
          </w:r>
          <w:r>
            <w:instrText xml:space="preserve"> PAGEREF _Toc12238 \h </w:instrText>
          </w:r>
          <w:r>
            <w:fldChar w:fldCharType="separate"/>
          </w:r>
          <w:r>
            <w:t>23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2FB8F8C">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_Toc26657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9.1. </w:t>
          </w:r>
          <w:r>
            <w:t>现状分析</w:t>
          </w:r>
          <w:r>
            <w:tab/>
          </w:r>
          <w:r>
            <w:fldChar w:fldCharType="begin"/>
          </w:r>
          <w:r>
            <w:instrText xml:space="preserve"> PAGEREF _Toc26657 \h </w:instrText>
          </w:r>
          <w:r>
            <w:fldChar w:fldCharType="separate"/>
          </w:r>
          <w:r>
            <w:t>23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30AFB3C">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_Toc24884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9.2. </w:t>
          </w:r>
          <w:r>
            <w:t>改进目标</w:t>
          </w:r>
          <w:r>
            <w:tab/>
          </w:r>
          <w:r>
            <w:fldChar w:fldCharType="begin"/>
          </w:r>
          <w:r>
            <w:instrText xml:space="preserve"> PAGEREF _Toc24884 \h </w:instrText>
          </w:r>
          <w:r>
            <w:fldChar w:fldCharType="separate"/>
          </w:r>
          <w:r>
            <w:t>23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57AD369">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_Toc13642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9.3. </w:t>
          </w:r>
          <w:r>
            <w:t>实施计划</w:t>
          </w:r>
          <w:r>
            <w:tab/>
          </w:r>
          <w:r>
            <w:fldChar w:fldCharType="begin"/>
          </w:r>
          <w:r>
            <w:instrText xml:space="preserve"> PAGEREF _Toc13642 \h </w:instrText>
          </w:r>
          <w:r>
            <w:fldChar w:fldCharType="separate"/>
          </w:r>
          <w:r>
            <w:t>23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956DD0E">
          <w:pPr>
            <w:keepNext w:val="0"/>
            <w:keepLines w:val="0"/>
            <w:pageBreakBefore w:val="0"/>
            <w:widowControl w:val="0"/>
            <w:kinsoku w:val="0"/>
            <w:wordWrap/>
            <w:overflowPunct/>
            <w:topLinePunct w:val="0"/>
            <w:autoSpaceDE w:val="0"/>
            <w:autoSpaceDN w:val="0"/>
            <w:bidi w:val="0"/>
            <w:adjustRightInd w:val="0"/>
            <w:snapToGrid w:val="0"/>
            <w:spacing w:line="220" w:lineRule="auto"/>
            <w:rPr>
              <w:rFonts w:hint="eastAsia" w:ascii="Microsoft JhengHei" w:hAnsi="Microsoft JhengHei" w:eastAsia="Microsoft JhengHei" w:cs="Microsoft JhengHei"/>
              <w:snapToGrid w:val="0"/>
              <w:color w:val="000000"/>
              <w:kern w:val="0"/>
              <w:sz w:val="21"/>
              <w:szCs w:val="24"/>
              <w:lang w:val="en-US" w:eastAsia="en-US" w:bidi="ar-SA"/>
            </w:rPr>
          </w:pPr>
          <w:r>
            <w:rPr>
              <w:rFonts w:hint="eastAsia" w:ascii="Microsoft JhengHei" w:hAnsi="Microsoft JhengHei" w:eastAsia="Microsoft JhengHei" w:cs="Microsoft JhengHei"/>
              <w:snapToGrid w:val="0"/>
              <w:color w:val="000000"/>
              <w:kern w:val="0"/>
              <w:szCs w:val="24"/>
              <w:lang w:val="en-US" w:eastAsia="en-US" w:bidi="ar-SA"/>
            </w:rPr>
            <w:fldChar w:fldCharType="end"/>
          </w:r>
        </w:p>
      </w:sdtContent>
    </w:sdt>
    <w:p w14:paraId="1CAB5B6E">
      <w:pPr>
        <w:keepNext w:val="0"/>
        <w:keepLines w:val="0"/>
        <w:pageBreakBefore w:val="0"/>
        <w:widowControl w:val="0"/>
        <w:kinsoku w:val="0"/>
        <w:wordWrap/>
        <w:overflowPunct/>
        <w:topLinePunct w:val="0"/>
        <w:autoSpaceDE w:val="0"/>
        <w:autoSpaceDN w:val="0"/>
        <w:bidi w:val="0"/>
        <w:adjustRightInd w:val="0"/>
        <w:snapToGrid w:val="0"/>
        <w:spacing w:line="220" w:lineRule="auto"/>
        <w:rPr>
          <w:rFonts w:hint="eastAsia" w:ascii="Microsoft JhengHei" w:hAnsi="Microsoft JhengHei" w:eastAsia="Microsoft JhengHei" w:cs="Microsoft JhengHei"/>
          <w:snapToGrid w:val="0"/>
          <w:color w:val="000000"/>
          <w:kern w:val="0"/>
          <w:sz w:val="21"/>
          <w:szCs w:val="24"/>
          <w:lang w:val="en-US" w:eastAsia="en-US" w:bidi="ar-SA"/>
        </w:rPr>
      </w:pPr>
    </w:p>
    <w:p w14:paraId="3D09CEBE">
      <w:pPr>
        <w:keepNext w:val="0"/>
        <w:keepLines w:val="0"/>
        <w:pageBreakBefore w:val="0"/>
        <w:widowControl w:val="0"/>
        <w:tabs>
          <w:tab w:val="right" w:leader="dot" w:pos="8330"/>
        </w:tabs>
        <w:kinsoku w:val="0"/>
        <w:wordWrap/>
        <w:overflowPunct/>
        <w:topLinePunct w:val="0"/>
        <w:autoSpaceDE w:val="0"/>
        <w:autoSpaceDN w:val="0"/>
        <w:bidi w:val="0"/>
        <w:adjustRightInd w:val="0"/>
        <w:snapToGrid w:val="0"/>
        <w:spacing w:before="251" w:line="220" w:lineRule="auto"/>
        <w:ind w:left="276"/>
        <w:rPr>
          <w:rFonts w:ascii="Calibri" w:hAnsi="Calibri" w:eastAsia="Calibri" w:cs="Calibri"/>
          <w:sz w:val="20"/>
          <w:szCs w:val="20"/>
        </w:rPr>
      </w:pPr>
    </w:p>
    <w:p w14:paraId="69636765">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Calibri" w:hAnsi="Calibri" w:eastAsia="Calibri" w:cs="Calibri"/>
          <w:sz w:val="20"/>
          <w:szCs w:val="20"/>
        </w:rPr>
        <w:sectPr>
          <w:footerReference r:id="rId6" w:type="default"/>
          <w:pgSz w:w="11906" w:h="16839"/>
          <w:pgMar w:top="1370" w:right="1767" w:bottom="1637" w:left="1768" w:header="0" w:footer="1385" w:gutter="0"/>
          <w:cols w:space="720" w:num="1"/>
        </w:sectPr>
      </w:pPr>
    </w:p>
    <w:p w14:paraId="2E1F5DA6">
      <w:pPr>
        <w:pStyle w:val="27"/>
        <w:keepNext w:val="0"/>
        <w:keepLines w:val="0"/>
        <w:pageBreakBefore w:val="0"/>
        <w:widowControl w:val="0"/>
        <w:kinsoku w:val="0"/>
        <w:wordWrap/>
        <w:overflowPunct/>
        <w:topLinePunct w:val="0"/>
        <w:autoSpaceDE w:val="0"/>
        <w:autoSpaceDN w:val="0"/>
        <w:bidi w:val="0"/>
        <w:adjustRightInd w:val="0"/>
        <w:snapToGrid w:val="0"/>
      </w:pPr>
      <w:bookmarkStart w:id="9" w:name="_Toc18839"/>
      <w:bookmarkStart w:id="10" w:name="_Toc10726"/>
      <w:bookmarkStart w:id="11" w:name="_Toc12347"/>
      <w:r>
        <w:t>概要说明</w:t>
      </w:r>
      <w:bookmarkEnd w:id="9"/>
      <w:bookmarkEnd w:id="10"/>
      <w:bookmarkEnd w:id="11"/>
    </w:p>
    <w:p w14:paraId="18E0176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运维服务管理能力计划用于指导公司管理和提高运维服务能力，在本年度内按照服务级别协议以及服务目录，实施运维服务管理与服务运营活动。实施服务管理计划的目的是达成公司既定的服务质量目标、规划并合理使用资源、保证业务连续性和运维服务连续性、不断改进服务过程。为客户提供稳定、安全、高效的运行维护服务。</w:t>
      </w:r>
    </w:p>
    <w:p w14:paraId="0718AE2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本文档在公司相关管理要求和管理策略基础上，定义了能力管理计划。通过规划公司在运维服务方面的人力、资源、技术、过程、质量、交付</w:t>
      </w:r>
      <w:r>
        <w:rPr>
          <w:rFonts w:hint="eastAsia" w:ascii="宋体" w:hAnsi="宋体" w:eastAsia="宋体" w:cs="宋体"/>
          <w:spacing w:val="-2"/>
          <w:sz w:val="24"/>
          <w:szCs w:val="24"/>
          <w:lang w:val="en-US" w:eastAsia="zh-CN"/>
        </w:rPr>
        <w:t>和</w:t>
      </w:r>
      <w:r>
        <w:rPr>
          <w:rFonts w:ascii="宋体" w:hAnsi="宋体" w:eastAsia="宋体" w:cs="宋体"/>
          <w:spacing w:val="-2"/>
          <w:sz w:val="24"/>
          <w:szCs w:val="24"/>
        </w:rPr>
        <w:t>应急等方面的能力，并通过有计划</w:t>
      </w:r>
      <w:r>
        <w:rPr>
          <w:rFonts w:hint="eastAsia" w:ascii="宋体" w:hAnsi="宋体" w:eastAsia="宋体" w:cs="宋体"/>
          <w:spacing w:val="-2"/>
          <w:sz w:val="24"/>
          <w:szCs w:val="24"/>
          <w:lang w:eastAsia="zh-CN"/>
        </w:rPr>
        <w:t>地</w:t>
      </w:r>
      <w:r>
        <w:rPr>
          <w:rFonts w:ascii="宋体" w:hAnsi="宋体" w:eastAsia="宋体" w:cs="宋体"/>
          <w:spacing w:val="-2"/>
          <w:sz w:val="24"/>
          <w:szCs w:val="24"/>
        </w:rPr>
        <w:t>开展能力建设工作，促进公司业务的发展。</w:t>
      </w:r>
    </w:p>
    <w:p w14:paraId="741B4E3D">
      <w:pPr>
        <w:pStyle w:val="27"/>
        <w:keepNext w:val="0"/>
        <w:keepLines w:val="0"/>
        <w:pageBreakBefore w:val="0"/>
        <w:widowControl w:val="0"/>
        <w:kinsoku w:val="0"/>
        <w:wordWrap/>
        <w:overflowPunct/>
        <w:topLinePunct w:val="0"/>
        <w:autoSpaceDE w:val="0"/>
        <w:autoSpaceDN w:val="0"/>
        <w:bidi w:val="0"/>
        <w:adjustRightInd w:val="0"/>
        <w:snapToGrid w:val="0"/>
      </w:pPr>
      <w:bookmarkStart w:id="12" w:name="_Toc16113"/>
      <w:bookmarkStart w:id="13" w:name="_Toc23626"/>
      <w:bookmarkStart w:id="14" w:name="_Toc13347"/>
      <w:r>
        <w:t>年度目标</w:t>
      </w:r>
      <w:bookmarkEnd w:id="12"/>
      <w:bookmarkEnd w:id="13"/>
      <w:bookmarkEnd w:id="14"/>
    </w:p>
    <w:p w14:paraId="2A8503C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在公司运维服务全体员工的不懈努力下，根据公司发展愿景及战略绩效目标，特制定运维业务的经营目标如下：</w:t>
      </w:r>
    </w:p>
    <w:p w14:paraId="29A04CF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运维业务收入超</w:t>
      </w:r>
      <w:r>
        <w:rPr>
          <w:rFonts w:hint="eastAsia" w:ascii="宋体" w:hAnsi="宋体" w:eastAsia="宋体" w:cs="宋体"/>
          <w:spacing w:val="-2"/>
          <w:sz w:val="24"/>
          <w:szCs w:val="24"/>
          <w:lang w:val="en-US" w:eastAsia="zh-CN"/>
        </w:rPr>
        <w:t>500</w:t>
      </w:r>
      <w:r>
        <w:rPr>
          <w:rFonts w:hint="eastAsia" w:ascii="宋体" w:hAnsi="宋体" w:eastAsia="宋体" w:cs="宋体"/>
          <w:spacing w:val="-2"/>
          <w:sz w:val="24"/>
          <w:szCs w:val="24"/>
          <w:lang w:eastAsia="zh-CN"/>
        </w:rPr>
        <w:t>万元</w:t>
      </w:r>
      <w:r>
        <w:rPr>
          <w:rFonts w:ascii="宋体" w:hAnsi="宋体" w:eastAsia="宋体" w:cs="宋体"/>
          <w:spacing w:val="-2"/>
          <w:sz w:val="24"/>
          <w:szCs w:val="24"/>
        </w:rPr>
        <w:t>。其中</w:t>
      </w:r>
    </w:p>
    <w:p w14:paraId="7E592EF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lang w:val="en-US" w:eastAsia="zh-CN"/>
        </w:rPr>
        <w:t>医疗</w:t>
      </w:r>
      <w:r>
        <w:rPr>
          <w:rFonts w:ascii="宋体" w:hAnsi="宋体" w:eastAsia="宋体" w:cs="宋体"/>
          <w:spacing w:val="-2"/>
          <w:sz w:val="24"/>
          <w:szCs w:val="24"/>
        </w:rPr>
        <w:t xml:space="preserve">信息化运维 </w:t>
      </w:r>
      <w:r>
        <w:rPr>
          <w:rFonts w:hint="eastAsia" w:ascii="宋体" w:hAnsi="宋体" w:eastAsia="宋体" w:cs="宋体"/>
          <w:spacing w:val="-2"/>
          <w:sz w:val="24"/>
          <w:szCs w:val="24"/>
          <w:lang w:val="en-US" w:eastAsia="zh-CN"/>
        </w:rPr>
        <w:t>2</w:t>
      </w:r>
      <w:r>
        <w:rPr>
          <w:rFonts w:ascii="宋体" w:hAnsi="宋体" w:eastAsia="宋体" w:cs="宋体"/>
          <w:spacing w:val="-2"/>
          <w:sz w:val="24"/>
          <w:szCs w:val="24"/>
        </w:rPr>
        <w:t>00</w:t>
      </w:r>
      <w:r>
        <w:rPr>
          <w:rFonts w:hint="eastAsia" w:ascii="宋体" w:hAnsi="宋体" w:eastAsia="宋体" w:cs="宋体"/>
          <w:spacing w:val="-2"/>
          <w:sz w:val="24"/>
          <w:szCs w:val="24"/>
          <w:lang w:eastAsia="zh-CN"/>
        </w:rPr>
        <w:t>万元</w:t>
      </w:r>
      <w:r>
        <w:rPr>
          <w:rFonts w:ascii="宋体" w:hAnsi="宋体" w:eastAsia="宋体" w:cs="宋体"/>
          <w:spacing w:val="-2"/>
          <w:sz w:val="24"/>
          <w:szCs w:val="24"/>
        </w:rPr>
        <w:t>；</w:t>
      </w:r>
    </w:p>
    <w:p w14:paraId="2C0CE94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lang w:val="en-US" w:eastAsia="zh-CN"/>
        </w:rPr>
        <w:t>政府</w:t>
      </w:r>
      <w:r>
        <w:rPr>
          <w:rFonts w:ascii="宋体" w:hAnsi="宋体" w:eastAsia="宋体" w:cs="宋体"/>
          <w:spacing w:val="-2"/>
          <w:sz w:val="24"/>
          <w:szCs w:val="24"/>
        </w:rPr>
        <w:t xml:space="preserve">信息化运维 </w:t>
      </w:r>
      <w:r>
        <w:rPr>
          <w:rFonts w:hint="eastAsia" w:ascii="宋体" w:hAnsi="宋体" w:eastAsia="宋体" w:cs="宋体"/>
          <w:spacing w:val="-2"/>
          <w:sz w:val="24"/>
          <w:szCs w:val="24"/>
          <w:lang w:val="en-US" w:eastAsia="zh-CN"/>
        </w:rPr>
        <w:t>2</w:t>
      </w:r>
      <w:r>
        <w:rPr>
          <w:rFonts w:ascii="宋体" w:hAnsi="宋体" w:eastAsia="宋体" w:cs="宋体"/>
          <w:spacing w:val="-2"/>
          <w:sz w:val="24"/>
          <w:szCs w:val="24"/>
        </w:rPr>
        <w:t>00</w:t>
      </w:r>
      <w:r>
        <w:rPr>
          <w:rFonts w:hint="eastAsia" w:ascii="宋体" w:hAnsi="宋体" w:eastAsia="宋体" w:cs="宋体"/>
          <w:spacing w:val="-2"/>
          <w:sz w:val="24"/>
          <w:szCs w:val="24"/>
          <w:lang w:eastAsia="zh-CN"/>
        </w:rPr>
        <w:t>万元</w:t>
      </w:r>
      <w:r>
        <w:rPr>
          <w:rFonts w:ascii="宋体" w:hAnsi="宋体" w:eastAsia="宋体" w:cs="宋体"/>
          <w:spacing w:val="-2"/>
          <w:sz w:val="24"/>
          <w:szCs w:val="24"/>
        </w:rPr>
        <w:t>；</w:t>
      </w:r>
    </w:p>
    <w:p w14:paraId="0F64C8E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 xml:space="preserve">教育信息化运维 </w:t>
      </w:r>
      <w:r>
        <w:rPr>
          <w:rFonts w:hint="eastAsia" w:ascii="宋体" w:hAnsi="宋体" w:eastAsia="宋体" w:cs="宋体"/>
          <w:spacing w:val="-2"/>
          <w:sz w:val="24"/>
          <w:szCs w:val="24"/>
          <w:lang w:val="en-US" w:eastAsia="zh-CN"/>
        </w:rPr>
        <w:t>1</w:t>
      </w:r>
      <w:r>
        <w:rPr>
          <w:rFonts w:ascii="宋体" w:hAnsi="宋体" w:eastAsia="宋体" w:cs="宋体"/>
          <w:spacing w:val="-2"/>
          <w:sz w:val="24"/>
          <w:szCs w:val="24"/>
        </w:rPr>
        <w:t xml:space="preserve">00 </w:t>
      </w:r>
      <w:r>
        <w:rPr>
          <w:rFonts w:hint="eastAsia" w:ascii="宋体" w:hAnsi="宋体" w:eastAsia="宋体" w:cs="宋体"/>
          <w:spacing w:val="-2"/>
          <w:sz w:val="24"/>
          <w:szCs w:val="24"/>
          <w:lang w:eastAsia="zh-CN"/>
        </w:rPr>
        <w:t>万元</w:t>
      </w:r>
      <w:r>
        <w:rPr>
          <w:rFonts w:ascii="宋体" w:hAnsi="宋体" w:eastAsia="宋体" w:cs="宋体"/>
          <w:spacing w:val="-2"/>
          <w:sz w:val="24"/>
          <w:szCs w:val="24"/>
        </w:rPr>
        <w:t>；</w:t>
      </w:r>
    </w:p>
    <w:p w14:paraId="6F4A073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为完成该目标，需首先保证老客户的持续服务，维持老客户的</w:t>
      </w:r>
      <w:r>
        <w:rPr>
          <w:rFonts w:hint="eastAsia" w:ascii="宋体" w:hAnsi="宋体" w:eastAsia="宋体" w:cs="宋体"/>
          <w:spacing w:val="-2"/>
          <w:sz w:val="24"/>
          <w:szCs w:val="24"/>
          <w:lang w:val="en-US" w:eastAsia="zh-CN"/>
        </w:rPr>
        <w:t>300</w:t>
      </w:r>
      <w:r>
        <w:rPr>
          <w:rFonts w:ascii="宋体" w:hAnsi="宋体" w:eastAsia="宋体" w:cs="宋体"/>
          <w:spacing w:val="-2"/>
          <w:sz w:val="24"/>
          <w:szCs w:val="24"/>
        </w:rPr>
        <w:t>余</w:t>
      </w:r>
      <w:r>
        <w:rPr>
          <w:rFonts w:hint="eastAsia" w:ascii="宋体" w:hAnsi="宋体" w:eastAsia="宋体" w:cs="宋体"/>
          <w:spacing w:val="-2"/>
          <w:sz w:val="24"/>
          <w:szCs w:val="24"/>
          <w:lang w:eastAsia="zh-CN"/>
        </w:rPr>
        <w:t>万元</w:t>
      </w:r>
      <w:r>
        <w:rPr>
          <w:rFonts w:ascii="宋体" w:hAnsi="宋体" w:eastAsia="宋体" w:cs="宋体"/>
          <w:spacing w:val="-2"/>
          <w:sz w:val="24"/>
          <w:szCs w:val="24"/>
        </w:rPr>
        <w:t>的收入，还需要拓展新的运维客户去完成剩余运维业务收入。其次，针对已经完成建设的客户，在维持良好客户关系的基础上，开拓运维服务收入来源，如开展维护服务项目，或扩大项目规模，增加老客户的收入额。</w:t>
      </w:r>
    </w:p>
    <w:p w14:paraId="67006B0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为了将运维业务更加专业化，我公司的运维业务在市场上更有竞争力。公 司决定于本周期度引入 GB/T28827.1-20</w:t>
      </w:r>
      <w:r>
        <w:rPr>
          <w:rFonts w:hint="eastAsia" w:ascii="宋体" w:hAnsi="宋体" w:eastAsia="宋体" w:cs="宋体"/>
          <w:spacing w:val="-2"/>
          <w:sz w:val="24"/>
          <w:szCs w:val="24"/>
          <w:lang w:val="en-US" w:eastAsia="zh-CN"/>
        </w:rPr>
        <w:t>2</w:t>
      </w:r>
      <w:r>
        <w:rPr>
          <w:rFonts w:ascii="宋体" w:hAnsi="宋体" w:eastAsia="宋体" w:cs="宋体"/>
          <w:spacing w:val="-2"/>
          <w:sz w:val="24"/>
          <w:szCs w:val="24"/>
        </w:rPr>
        <w:t xml:space="preserve">2《信息技术服务 运行维护 第 1 部分：通用要求》、GB/T28827.2-2012《信息技术服务运行维护第 2 部分：交付规范》 、GB/T28827.3-2012《信息技术服务运行维护 第 3 部分：应急响应规范》及 </w:t>
      </w:r>
      <w:r>
        <w:rPr>
          <w:rFonts w:hint="eastAsia" w:ascii="宋体" w:hAnsi="宋体" w:eastAsia="宋体" w:cs="宋体"/>
          <w:spacing w:val="-2"/>
          <w:sz w:val="24"/>
          <w:szCs w:val="24"/>
        </w:rPr>
        <w:t>T/CESA 1299—2023</w:t>
      </w:r>
      <w:r>
        <w:rPr>
          <w:rFonts w:ascii="宋体" w:hAnsi="宋体" w:eastAsia="宋体" w:cs="宋体"/>
          <w:spacing w:val="-2"/>
          <w:sz w:val="24"/>
          <w:szCs w:val="24"/>
        </w:rPr>
        <w:t>《信息技术服务运行维护服务能力成熟度模型》，建立以提升运维服务力为导向的运维服务能力管理体系。公司根据 ITSS 体系的要求，结合业务发展需要，从人员管理、资源管理、技术管理、服务过程管理、交付管理、应急管理及质量管理等方面梳理、改进和完善原有的运维服务体系，形成了人力、过程、资源、技术、质量、交付</w:t>
      </w:r>
      <w:r>
        <w:rPr>
          <w:rFonts w:hint="eastAsia" w:ascii="宋体" w:hAnsi="宋体" w:eastAsia="宋体" w:cs="宋体"/>
          <w:spacing w:val="-2"/>
          <w:sz w:val="24"/>
          <w:szCs w:val="24"/>
          <w:lang w:val="en-US" w:eastAsia="zh-CN"/>
        </w:rPr>
        <w:t>和</w:t>
      </w:r>
      <w:r>
        <w:rPr>
          <w:rFonts w:ascii="宋体" w:hAnsi="宋体" w:eastAsia="宋体" w:cs="宋体"/>
          <w:spacing w:val="-2"/>
          <w:sz w:val="24"/>
          <w:szCs w:val="24"/>
        </w:rPr>
        <w:t>应急等方面相互结合、相互促进、协调一致的运维服务能力管理体系。</w:t>
      </w:r>
    </w:p>
    <w:p w14:paraId="6E0C2212">
      <w:pPr>
        <w:pStyle w:val="27"/>
        <w:keepNext w:val="0"/>
        <w:keepLines w:val="0"/>
        <w:pageBreakBefore w:val="0"/>
        <w:widowControl w:val="0"/>
        <w:kinsoku w:val="0"/>
        <w:wordWrap/>
        <w:overflowPunct/>
        <w:topLinePunct w:val="0"/>
        <w:autoSpaceDE w:val="0"/>
        <w:autoSpaceDN w:val="0"/>
        <w:bidi w:val="0"/>
        <w:adjustRightInd w:val="0"/>
        <w:snapToGrid w:val="0"/>
      </w:pPr>
      <w:bookmarkStart w:id="15" w:name="_Toc3935"/>
      <w:bookmarkStart w:id="16" w:name="_Toc10479"/>
      <w:bookmarkStart w:id="17" w:name="_Toc18998"/>
      <w:r>
        <w:t>人员方面</w:t>
      </w:r>
      <w:bookmarkEnd w:id="15"/>
      <w:bookmarkEnd w:id="16"/>
      <w:bookmarkEnd w:id="17"/>
    </w:p>
    <w:p w14:paraId="4837901C">
      <w:pPr>
        <w:pStyle w:val="29"/>
        <w:keepNext w:val="0"/>
        <w:keepLines w:val="0"/>
        <w:pageBreakBefore w:val="0"/>
        <w:widowControl w:val="0"/>
        <w:kinsoku w:val="0"/>
        <w:wordWrap/>
        <w:overflowPunct/>
        <w:topLinePunct w:val="0"/>
        <w:autoSpaceDE w:val="0"/>
        <w:autoSpaceDN w:val="0"/>
        <w:bidi w:val="0"/>
        <w:adjustRightInd w:val="0"/>
        <w:snapToGrid w:val="0"/>
      </w:pPr>
      <w:bookmarkStart w:id="18" w:name="bookmark62"/>
      <w:bookmarkEnd w:id="18"/>
      <w:bookmarkStart w:id="19" w:name="_Toc14134"/>
      <w:bookmarkStart w:id="20" w:name="_Toc3415"/>
      <w:bookmarkStart w:id="21" w:name="_Toc29833"/>
      <w:r>
        <w:t>现状分析</w:t>
      </w:r>
      <w:bookmarkEnd w:id="19"/>
      <w:bookmarkEnd w:id="20"/>
      <w:bookmarkEnd w:id="21"/>
    </w:p>
    <w:p w14:paraId="50317F4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结合公司运维业务状况及工作运维工作计划，为了使人才结构和人才比例满足公司业务增长的要求。特制定人员储备计划并展开工作。</w:t>
      </w:r>
    </w:p>
    <w:p w14:paraId="7C159FB9">
      <w:pPr>
        <w:pStyle w:val="29"/>
        <w:keepNext w:val="0"/>
        <w:keepLines w:val="0"/>
        <w:pageBreakBefore w:val="0"/>
        <w:widowControl w:val="0"/>
        <w:kinsoku w:val="0"/>
        <w:wordWrap/>
        <w:overflowPunct/>
        <w:topLinePunct w:val="0"/>
        <w:autoSpaceDE w:val="0"/>
        <w:autoSpaceDN w:val="0"/>
        <w:bidi w:val="0"/>
        <w:adjustRightInd w:val="0"/>
        <w:snapToGrid w:val="0"/>
      </w:pPr>
      <w:bookmarkStart w:id="22" w:name="_Toc31258"/>
      <w:r>
        <w:rPr>
          <w:rFonts w:hint="eastAsia"/>
          <w:lang w:val="en-US" w:eastAsia="zh-CN"/>
        </w:rPr>
        <w:t>改进目标</w:t>
      </w:r>
      <w:bookmarkEnd w:id="22"/>
    </w:p>
    <w:p w14:paraId="5BCC4AC2">
      <w:pPr>
        <w:keepNext w:val="0"/>
        <w:keepLines w:val="0"/>
        <w:pageBreakBefore w:val="0"/>
        <w:widowControl w:val="0"/>
        <w:kinsoku w:val="0"/>
        <w:wordWrap/>
        <w:overflowPunct/>
        <w:topLinePunct w:val="0"/>
        <w:autoSpaceDE w:val="0"/>
        <w:autoSpaceDN w:val="0"/>
        <w:bidi w:val="0"/>
        <w:adjustRightInd w:val="0"/>
        <w:snapToGrid w:val="0"/>
        <w:rPr>
          <w:spacing w:val="-2"/>
          <w:sz w:val="24"/>
          <w:szCs w:val="24"/>
        </w:rPr>
      </w:pPr>
      <w:r>
        <w:rPr>
          <w:spacing w:val="-1"/>
          <w:sz w:val="24"/>
          <w:szCs w:val="24"/>
        </w:rPr>
        <w:t>满足当前运维业务的需</w:t>
      </w:r>
      <w:r>
        <w:rPr>
          <w:spacing w:val="-2"/>
          <w:sz w:val="24"/>
          <w:szCs w:val="24"/>
        </w:rPr>
        <w:t>要，降低目前在岗人员的工作压力，保证服务的持续性。</w:t>
      </w:r>
    </w:p>
    <w:p w14:paraId="0B70DA15">
      <w:pPr>
        <w:pStyle w:val="29"/>
        <w:keepNext w:val="0"/>
        <w:keepLines w:val="0"/>
        <w:pageBreakBefore w:val="0"/>
        <w:widowControl w:val="0"/>
        <w:kinsoku w:val="0"/>
        <w:wordWrap/>
        <w:overflowPunct/>
        <w:topLinePunct w:val="0"/>
        <w:autoSpaceDE w:val="0"/>
        <w:autoSpaceDN w:val="0"/>
        <w:bidi w:val="0"/>
        <w:adjustRightInd w:val="0"/>
        <w:snapToGrid w:val="0"/>
      </w:pPr>
      <w:bookmarkStart w:id="23" w:name="_Toc15675"/>
      <w:r>
        <w:rPr>
          <w:rFonts w:hint="eastAsia"/>
          <w:lang w:val="en-US" w:eastAsia="zh-CN"/>
        </w:rPr>
        <w:t>实施计划</w:t>
      </w:r>
      <w:bookmarkEnd w:id="23"/>
    </w:p>
    <w:p w14:paraId="456EF73D">
      <w:pPr>
        <w:pStyle w:val="30"/>
        <w:keepNext w:val="0"/>
        <w:keepLines w:val="0"/>
        <w:pageBreakBefore w:val="0"/>
        <w:widowControl w:val="0"/>
        <w:kinsoku w:val="0"/>
        <w:wordWrap/>
        <w:overflowPunct/>
        <w:topLinePunct w:val="0"/>
        <w:autoSpaceDE w:val="0"/>
        <w:autoSpaceDN w:val="0"/>
        <w:bidi w:val="0"/>
        <w:adjustRightInd w:val="0"/>
        <w:snapToGrid w:val="0"/>
      </w:pPr>
      <w:bookmarkStart w:id="24" w:name="_Toc26732"/>
      <w:bookmarkStart w:id="25" w:name="_Toc11219"/>
      <w:bookmarkStart w:id="26" w:name="_Toc5134"/>
      <w:r>
        <w:t>人员</w:t>
      </w:r>
      <w:r>
        <w:rPr>
          <w:rFonts w:hint="eastAsia"/>
          <w:lang w:val="en-US" w:eastAsia="zh-CN"/>
        </w:rPr>
        <w:t>招聘</w:t>
      </w:r>
      <w:bookmarkEnd w:id="24"/>
      <w:bookmarkEnd w:id="25"/>
      <w:bookmarkEnd w:id="26"/>
    </w:p>
    <w:p w14:paraId="1ACD3D1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为满足企业发展对人才的需求，以企业经营计划为依据，结合公司实际情况，为公司提供人力资源的支持。人力资源部会同各部门确定今年度招聘岗位及人数，针对待招聘的岗位进行招聘渠道、招聘方式的选择。</w:t>
      </w:r>
    </w:p>
    <w:p w14:paraId="6BD5825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依据对预估的公司业务目标，为提高客户满意度，运维部需要招聘</w:t>
      </w:r>
      <w:r>
        <w:rPr>
          <w:rFonts w:hint="eastAsia" w:ascii="宋体" w:hAnsi="宋体" w:eastAsia="宋体" w:cs="宋体"/>
          <w:spacing w:val="-2"/>
          <w:sz w:val="24"/>
          <w:szCs w:val="24"/>
          <w:lang w:val="en-US" w:eastAsia="zh-CN"/>
        </w:rPr>
        <w:t>9</w:t>
      </w:r>
      <w:r>
        <w:rPr>
          <w:rFonts w:ascii="宋体" w:hAnsi="宋体" w:eastAsia="宋体" w:cs="宋体"/>
          <w:spacing w:val="-2"/>
          <w:sz w:val="24"/>
          <w:szCs w:val="24"/>
        </w:rPr>
        <w:t>名新员工，包括运维实施工程师、数据库工程师、网络工程师等多个岗位，通过校园招聘、网络招聘、内部推荐的方式进行人才引进。</w:t>
      </w:r>
    </w:p>
    <w:p w14:paraId="53359EAC">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hAnsi="宋体" w:eastAsia="宋体" w:cs="宋体"/>
          <w:spacing w:val="-1"/>
          <w:sz w:val="24"/>
          <w:szCs w:val="24"/>
        </w:rPr>
      </w:pPr>
      <w:bookmarkStart w:id="27" w:name="_Toc1260"/>
      <w:bookmarkStart w:id="28" w:name="_Toc9504"/>
      <w:r>
        <w:rPr>
          <w:rFonts w:ascii="宋体" w:hAnsi="宋体" w:eastAsia="宋体" w:cs="宋体"/>
          <w:spacing w:val="-1"/>
          <w:sz w:val="24"/>
          <w:szCs w:val="24"/>
        </w:rPr>
        <w:t>具体招聘计划如下：</w:t>
      </w:r>
      <w:bookmarkEnd w:id="27"/>
      <w:bookmarkEnd w:id="28"/>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1092"/>
        <w:gridCol w:w="1524"/>
        <w:gridCol w:w="1944"/>
        <w:gridCol w:w="1308"/>
      </w:tblGrid>
      <w:tr w14:paraId="09803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21" w:type="dxa"/>
            <w:gridSpan w:val="5"/>
          </w:tcPr>
          <w:p w14:paraId="2C81FF8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人员招聘计划</w:t>
            </w:r>
          </w:p>
        </w:tc>
      </w:tr>
      <w:tr w14:paraId="5E9F8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jc w:val="center"/>
        </w:trPr>
        <w:tc>
          <w:tcPr>
            <w:tcW w:w="1753" w:type="dxa"/>
          </w:tcPr>
          <w:p w14:paraId="4A1466A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岗位名称</w:t>
            </w:r>
          </w:p>
        </w:tc>
        <w:tc>
          <w:tcPr>
            <w:tcW w:w="1092" w:type="dxa"/>
          </w:tcPr>
          <w:p w14:paraId="712BA24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招聘人数</w:t>
            </w:r>
          </w:p>
        </w:tc>
        <w:tc>
          <w:tcPr>
            <w:tcW w:w="1524" w:type="dxa"/>
          </w:tcPr>
          <w:p w14:paraId="390BB46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责任部门</w:t>
            </w:r>
          </w:p>
        </w:tc>
        <w:tc>
          <w:tcPr>
            <w:tcW w:w="1944" w:type="dxa"/>
          </w:tcPr>
          <w:p w14:paraId="7F07DC6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预计到岗日期</w:t>
            </w:r>
          </w:p>
        </w:tc>
        <w:tc>
          <w:tcPr>
            <w:tcW w:w="1308" w:type="dxa"/>
          </w:tcPr>
          <w:p w14:paraId="7CD3E64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招聘方式</w:t>
            </w:r>
          </w:p>
        </w:tc>
      </w:tr>
      <w:tr w14:paraId="1C216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1753" w:type="dxa"/>
            <w:shd w:val="clear" w:color="auto" w:fill="auto"/>
          </w:tcPr>
          <w:p w14:paraId="270610E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63BB530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29B6B3F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4CEE42C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z w:val="21"/>
                <w:szCs w:val="21"/>
                <w:lang w:val="en-US" w:eastAsia="zh-CN"/>
              </w:rPr>
            </w:pPr>
            <w:r>
              <w:rPr>
                <w:rFonts w:hint="eastAsia" w:ascii="宋体" w:hAnsi="宋体" w:eastAsia="宋体" w:cs="宋体"/>
                <w:spacing w:val="-2"/>
                <w:sz w:val="21"/>
                <w:szCs w:val="21"/>
                <w:vertAlign w:val="baseline"/>
                <w:lang w:val="en-US" w:eastAsia="zh-CN"/>
              </w:rPr>
              <w:t>2025年4月</w:t>
            </w:r>
          </w:p>
        </w:tc>
        <w:tc>
          <w:tcPr>
            <w:tcW w:w="1308" w:type="dxa"/>
          </w:tcPr>
          <w:p w14:paraId="36D5DC4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46397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285BB90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数据库工程师</w:t>
            </w:r>
          </w:p>
        </w:tc>
        <w:tc>
          <w:tcPr>
            <w:tcW w:w="1092" w:type="dxa"/>
          </w:tcPr>
          <w:p w14:paraId="4C4AA76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tcPr>
          <w:p w14:paraId="202E1D2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tcPr>
          <w:p w14:paraId="20289CE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2025年5月</w:t>
            </w:r>
          </w:p>
        </w:tc>
        <w:tc>
          <w:tcPr>
            <w:tcW w:w="1308" w:type="dxa"/>
          </w:tcPr>
          <w:p w14:paraId="4CF3596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394A2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0733894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tcPr>
          <w:p w14:paraId="7EA765D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63D134C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人力资源部</w:t>
            </w:r>
          </w:p>
        </w:tc>
        <w:tc>
          <w:tcPr>
            <w:tcW w:w="1944" w:type="dxa"/>
          </w:tcPr>
          <w:p w14:paraId="7C6FE1B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2025年6月</w:t>
            </w:r>
          </w:p>
        </w:tc>
        <w:tc>
          <w:tcPr>
            <w:tcW w:w="1308" w:type="dxa"/>
          </w:tcPr>
          <w:p w14:paraId="104C742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181D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55ED9A4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软件工程师</w:t>
            </w:r>
          </w:p>
        </w:tc>
        <w:tc>
          <w:tcPr>
            <w:tcW w:w="1092" w:type="dxa"/>
            <w:shd w:val="clear" w:color="auto" w:fill="auto"/>
          </w:tcPr>
          <w:p w14:paraId="1DEA94C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12A9A1A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4C628B3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2025年7月</w:t>
            </w:r>
          </w:p>
        </w:tc>
        <w:tc>
          <w:tcPr>
            <w:tcW w:w="1308" w:type="dxa"/>
            <w:shd w:val="clear" w:color="auto" w:fill="auto"/>
          </w:tcPr>
          <w:p w14:paraId="3C6EB0A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01AF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791E0C9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557D34E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w:t>
            </w:r>
          </w:p>
        </w:tc>
        <w:tc>
          <w:tcPr>
            <w:tcW w:w="1524" w:type="dxa"/>
            <w:shd w:val="clear" w:color="auto" w:fill="auto"/>
          </w:tcPr>
          <w:p w14:paraId="0CD13CE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6F3D832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2025年8月</w:t>
            </w:r>
          </w:p>
        </w:tc>
        <w:tc>
          <w:tcPr>
            <w:tcW w:w="1308" w:type="dxa"/>
            <w:shd w:val="clear" w:color="auto" w:fill="auto"/>
          </w:tcPr>
          <w:p w14:paraId="3C2B1F7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外聘</w:t>
            </w:r>
          </w:p>
        </w:tc>
      </w:tr>
      <w:tr w14:paraId="50BE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6CC2774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28F1280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76B5078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7DD639D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2025年10月</w:t>
            </w:r>
          </w:p>
        </w:tc>
        <w:tc>
          <w:tcPr>
            <w:tcW w:w="1308" w:type="dxa"/>
            <w:shd w:val="clear" w:color="auto" w:fill="auto"/>
          </w:tcPr>
          <w:p w14:paraId="0A4A8C6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508A2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75FF818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798C6B1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vAlign w:val="center"/>
          </w:tcPr>
          <w:p w14:paraId="6A00EC0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vMerge w:val="restart"/>
            <w:shd w:val="clear" w:color="auto" w:fill="auto"/>
            <w:vAlign w:val="center"/>
          </w:tcPr>
          <w:p w14:paraId="5FA462D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2025年12月</w:t>
            </w:r>
          </w:p>
        </w:tc>
        <w:tc>
          <w:tcPr>
            <w:tcW w:w="1308" w:type="dxa"/>
            <w:shd w:val="clear" w:color="auto" w:fill="auto"/>
          </w:tcPr>
          <w:p w14:paraId="4A2EAC2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4D8E2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27A7C66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网络工程师</w:t>
            </w:r>
          </w:p>
        </w:tc>
        <w:tc>
          <w:tcPr>
            <w:tcW w:w="1092" w:type="dxa"/>
            <w:shd w:val="clear" w:color="auto" w:fill="auto"/>
          </w:tcPr>
          <w:p w14:paraId="79BFA9C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vAlign w:val="center"/>
          </w:tcPr>
          <w:p w14:paraId="34E93C1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vMerge w:val="continue"/>
            <w:shd w:val="clear" w:color="auto" w:fill="auto"/>
            <w:vAlign w:val="center"/>
          </w:tcPr>
          <w:p w14:paraId="2E8C60C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p>
        </w:tc>
        <w:tc>
          <w:tcPr>
            <w:tcW w:w="1308" w:type="dxa"/>
            <w:shd w:val="clear" w:color="auto" w:fill="auto"/>
          </w:tcPr>
          <w:p w14:paraId="23BA649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bl>
    <w:p w14:paraId="5CEDB22D">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29" w:name="_Toc7138"/>
      <w:bookmarkStart w:id="30" w:name="_Toc21729"/>
      <w:bookmarkStart w:id="31" w:name="_Toc3032"/>
      <w:r>
        <w:rPr>
          <w:rFonts w:hint="eastAsia"/>
          <w:lang w:val="en-US" w:eastAsia="zh-CN"/>
        </w:rPr>
        <w:t>人员储备计划</w:t>
      </w:r>
      <w:bookmarkEnd w:id="29"/>
    </w:p>
    <w:p w14:paraId="778350E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为了使人才结构和人才比例满足公司业务增长的要求。特制定2025年度人员内部储备计划，并开展相关工作。</w:t>
      </w:r>
    </w:p>
    <w:p w14:paraId="37BBD45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人力资源部与汇同各部门进行关键岗位的识别，确定运维部经理、运维项目经理等为关键岗位。依据公司的业务发展和人才情况进行分析，确定出储备的人数。</w:t>
      </w:r>
    </w:p>
    <w:p w14:paraId="6680CD0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lang w:val="en-US" w:eastAsia="zh-CN"/>
        </w:rPr>
      </w:pPr>
      <w:r>
        <w:rPr>
          <w:rFonts w:ascii="宋体" w:hAnsi="宋体" w:eastAsia="宋体" w:cs="宋体"/>
          <w:spacing w:val="-2"/>
          <w:sz w:val="24"/>
          <w:szCs w:val="24"/>
        </w:rPr>
        <w:t>依据储备方式为该岗位的低一级的岗位确定储备对象的岗位，并对储备人员进行培养、培训以及考核和考评。</w:t>
      </w:r>
    </w:p>
    <w:p w14:paraId="06F1F8D7">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hAnsi="宋体" w:eastAsia="宋体" w:cs="宋体"/>
          <w:spacing w:val="-2"/>
          <w:sz w:val="24"/>
          <w:szCs w:val="24"/>
        </w:rPr>
      </w:pPr>
      <w:r>
        <w:rPr>
          <w:rFonts w:hint="eastAsia" w:ascii="宋体" w:hAnsi="宋体" w:eastAsia="宋体" w:cs="宋体"/>
          <w:spacing w:val="-2"/>
          <w:sz w:val="24"/>
          <w:szCs w:val="24"/>
          <w:lang w:val="en-US" w:eastAsia="zh-CN"/>
        </w:rPr>
        <w:t>内部储备计划如下:</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5"/>
        <w:gridCol w:w="1260"/>
        <w:gridCol w:w="1524"/>
        <w:gridCol w:w="2568"/>
        <w:gridCol w:w="1285"/>
      </w:tblGrid>
      <w:tr w14:paraId="1022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5"/>
          </w:tcPr>
          <w:p w14:paraId="19ACA41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4"/>
                <w:szCs w:val="24"/>
                <w:vertAlign w:val="baseline"/>
                <w:lang w:val="en-US" w:eastAsia="zh-CN"/>
              </w:rPr>
            </w:pPr>
            <w:r>
              <w:rPr>
                <w:rFonts w:hint="eastAsia" w:eastAsia="宋体"/>
                <w:spacing w:val="-2"/>
                <w:sz w:val="24"/>
                <w:szCs w:val="24"/>
                <w:vertAlign w:val="baseline"/>
                <w:lang w:val="en-US" w:eastAsia="zh-CN"/>
              </w:rPr>
              <w:t>人员储备计划</w:t>
            </w:r>
          </w:p>
        </w:tc>
      </w:tr>
      <w:tr w14:paraId="5790A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jc w:val="center"/>
        </w:trPr>
        <w:tc>
          <w:tcPr>
            <w:tcW w:w="1885" w:type="dxa"/>
            <w:vAlign w:val="center"/>
          </w:tcPr>
          <w:p w14:paraId="00C5C21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岗位名称</w:t>
            </w:r>
          </w:p>
        </w:tc>
        <w:tc>
          <w:tcPr>
            <w:tcW w:w="1260" w:type="dxa"/>
            <w:vAlign w:val="center"/>
          </w:tcPr>
          <w:p w14:paraId="4AEC87A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储备人数</w:t>
            </w:r>
          </w:p>
        </w:tc>
        <w:tc>
          <w:tcPr>
            <w:tcW w:w="1524" w:type="dxa"/>
            <w:vAlign w:val="center"/>
          </w:tcPr>
          <w:p w14:paraId="3A7B2BE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责任部门</w:t>
            </w:r>
          </w:p>
        </w:tc>
        <w:tc>
          <w:tcPr>
            <w:tcW w:w="2568" w:type="dxa"/>
            <w:vAlign w:val="center"/>
          </w:tcPr>
          <w:p w14:paraId="31CC5AF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预计到岗日期</w:t>
            </w:r>
          </w:p>
        </w:tc>
        <w:tc>
          <w:tcPr>
            <w:tcW w:w="1285" w:type="dxa"/>
            <w:vAlign w:val="center"/>
          </w:tcPr>
          <w:p w14:paraId="62D583E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储备方式</w:t>
            </w:r>
          </w:p>
        </w:tc>
      </w:tr>
      <w:tr w14:paraId="38671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jc w:val="center"/>
        </w:trPr>
        <w:tc>
          <w:tcPr>
            <w:tcW w:w="1885" w:type="dxa"/>
            <w:vAlign w:val="center"/>
          </w:tcPr>
          <w:p w14:paraId="7D861BC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260" w:type="dxa"/>
            <w:vAlign w:val="center"/>
          </w:tcPr>
          <w:p w14:paraId="1F1B77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1524" w:type="dxa"/>
            <w:vAlign w:val="center"/>
          </w:tcPr>
          <w:p w14:paraId="66F23FF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人力资源部</w:t>
            </w:r>
          </w:p>
        </w:tc>
        <w:tc>
          <w:tcPr>
            <w:tcW w:w="2568" w:type="dxa"/>
            <w:vAlign w:val="center"/>
          </w:tcPr>
          <w:p w14:paraId="52CBB9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2025年4月</w:t>
            </w:r>
          </w:p>
        </w:tc>
        <w:tc>
          <w:tcPr>
            <w:tcW w:w="1285" w:type="dxa"/>
            <w:vAlign w:val="center"/>
          </w:tcPr>
          <w:p w14:paraId="70D035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r w14:paraId="3B337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5" w:type="dxa"/>
            <w:vAlign w:val="center"/>
          </w:tcPr>
          <w:p w14:paraId="767205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260" w:type="dxa"/>
            <w:vAlign w:val="center"/>
          </w:tcPr>
          <w:p w14:paraId="5AD82EE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1524" w:type="dxa"/>
            <w:shd w:val="clear" w:color="auto" w:fill="auto"/>
            <w:vAlign w:val="center"/>
          </w:tcPr>
          <w:p w14:paraId="7654397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ascii="Arial" w:hAnsi="Arial" w:eastAsia="宋体" w:cs="Arial"/>
                <w:snapToGrid w:val="0"/>
                <w:color w:val="000000"/>
                <w:spacing w:val="-2"/>
                <w:kern w:val="0"/>
                <w:sz w:val="21"/>
                <w:szCs w:val="21"/>
                <w:vertAlign w:val="baseline"/>
                <w:lang w:val="en-US" w:eastAsia="zh-CN" w:bidi="ar-SA"/>
              </w:rPr>
            </w:pPr>
            <w:r>
              <w:rPr>
                <w:rFonts w:hint="eastAsia" w:eastAsia="宋体"/>
                <w:spacing w:val="-2"/>
                <w:sz w:val="21"/>
                <w:szCs w:val="21"/>
                <w:vertAlign w:val="baseline"/>
                <w:lang w:val="en-US" w:eastAsia="zh-CN"/>
              </w:rPr>
              <w:t>人力资源部</w:t>
            </w:r>
          </w:p>
        </w:tc>
        <w:tc>
          <w:tcPr>
            <w:tcW w:w="2568" w:type="dxa"/>
            <w:vAlign w:val="center"/>
          </w:tcPr>
          <w:p w14:paraId="391C19B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2025年6月</w:t>
            </w:r>
          </w:p>
        </w:tc>
        <w:tc>
          <w:tcPr>
            <w:tcW w:w="1285" w:type="dxa"/>
            <w:vAlign w:val="center"/>
          </w:tcPr>
          <w:p w14:paraId="0A972F3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r w14:paraId="496E4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5" w:type="dxa"/>
            <w:vAlign w:val="center"/>
          </w:tcPr>
          <w:p w14:paraId="375543D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运维部经理</w:t>
            </w:r>
          </w:p>
        </w:tc>
        <w:tc>
          <w:tcPr>
            <w:tcW w:w="1260" w:type="dxa"/>
            <w:vAlign w:val="center"/>
          </w:tcPr>
          <w:p w14:paraId="2F1EE68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1524" w:type="dxa"/>
            <w:vAlign w:val="center"/>
          </w:tcPr>
          <w:p w14:paraId="02A6C7F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人力资源部</w:t>
            </w:r>
          </w:p>
        </w:tc>
        <w:tc>
          <w:tcPr>
            <w:tcW w:w="2568" w:type="dxa"/>
            <w:vAlign w:val="center"/>
          </w:tcPr>
          <w:p w14:paraId="57AEFB2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2025年8月</w:t>
            </w:r>
          </w:p>
        </w:tc>
        <w:tc>
          <w:tcPr>
            <w:tcW w:w="1285" w:type="dxa"/>
            <w:vAlign w:val="center"/>
          </w:tcPr>
          <w:p w14:paraId="25B0173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bl>
    <w:p w14:paraId="41F8813C">
      <w:pPr>
        <w:keepNext w:val="0"/>
        <w:keepLines w:val="0"/>
        <w:pageBreakBefore w:val="0"/>
        <w:widowControl w:val="0"/>
        <w:kinsoku w:val="0"/>
        <w:wordWrap/>
        <w:overflowPunct/>
        <w:topLinePunct w:val="0"/>
        <w:autoSpaceDE w:val="0"/>
        <w:autoSpaceDN w:val="0"/>
        <w:bidi w:val="0"/>
        <w:adjustRightInd w:val="0"/>
        <w:snapToGrid w:val="0"/>
      </w:pPr>
    </w:p>
    <w:p w14:paraId="05A021A0">
      <w:pPr>
        <w:pStyle w:val="30"/>
        <w:keepNext w:val="0"/>
        <w:keepLines w:val="0"/>
        <w:pageBreakBefore w:val="0"/>
        <w:widowControl w:val="0"/>
        <w:kinsoku w:val="0"/>
        <w:wordWrap/>
        <w:overflowPunct/>
        <w:topLinePunct w:val="0"/>
        <w:autoSpaceDE w:val="0"/>
        <w:autoSpaceDN w:val="0"/>
        <w:bidi w:val="0"/>
        <w:adjustRightInd w:val="0"/>
        <w:snapToGrid w:val="0"/>
      </w:pPr>
      <w:bookmarkStart w:id="32" w:name="_Toc22703"/>
      <w:r>
        <w:t>人员培训</w:t>
      </w:r>
      <w:bookmarkEnd w:id="30"/>
      <w:bookmarkEnd w:id="31"/>
      <w:bookmarkEnd w:id="32"/>
    </w:p>
    <w:p w14:paraId="7E997D5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bookmarkStart w:id="33" w:name="bookmark63"/>
      <w:bookmarkEnd w:id="33"/>
      <w:r>
        <w:rPr>
          <w:rFonts w:ascii="宋体" w:hAnsi="宋体" w:eastAsia="宋体" w:cs="宋体"/>
          <w:spacing w:val="-2"/>
          <w:sz w:val="24"/>
          <w:szCs w:val="24"/>
        </w:rPr>
        <w:t>为改善公司各级各类员工的知识结构，提升员工的综合素质，提高员工的工作技能和工作态度，满足公司的快速发展需要，更好的完成公司的各项工作计划与目标。人力资源部根据各部门的培训计划，对计划进行汇总，分类，明确参训对象、培训时间、培训方式，匹配上合适的讲师与培训课程，有效的组织培训。</w:t>
      </w:r>
    </w:p>
    <w:p w14:paraId="73D41A6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6"/>
          <w:sz w:val="24"/>
          <w:szCs w:val="24"/>
        </w:rPr>
      </w:pPr>
      <w:r>
        <w:rPr>
          <w:rFonts w:ascii="宋体" w:hAnsi="宋体" w:eastAsia="宋体" w:cs="宋体"/>
          <w:spacing w:val="-2"/>
          <w:sz w:val="24"/>
          <w:szCs w:val="24"/>
        </w:rPr>
        <w:t>培训课程包括通用类、技术类、流程规范类等。</w:t>
      </w:r>
      <w:r>
        <w:rPr>
          <w:rFonts w:ascii="宋体" w:hAnsi="宋体" w:eastAsia="宋体" w:cs="宋体"/>
          <w:spacing w:val="-6"/>
          <w:sz w:val="24"/>
          <w:szCs w:val="24"/>
        </w:rPr>
        <w:t>培训计划如下：</w:t>
      </w:r>
    </w:p>
    <w:p w14:paraId="51BCC97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56" w:firstLineChars="200"/>
        <w:jc w:val="both"/>
        <w:textAlignment w:val="baseline"/>
        <w:rPr>
          <w:rFonts w:ascii="宋体" w:hAnsi="宋体" w:eastAsia="宋体" w:cs="宋体"/>
          <w:spacing w:val="-6"/>
          <w:sz w:val="24"/>
          <w:szCs w:val="24"/>
        </w:rPr>
      </w:pPr>
    </w:p>
    <w:p w14:paraId="14E7DCF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56" w:firstLineChars="200"/>
        <w:jc w:val="both"/>
        <w:textAlignment w:val="baseline"/>
        <w:rPr>
          <w:rFonts w:ascii="宋体" w:hAnsi="宋体" w:eastAsia="宋体" w:cs="宋体"/>
          <w:spacing w:val="-6"/>
          <w:sz w:val="24"/>
          <w:szCs w:val="24"/>
        </w:rPr>
      </w:pPr>
    </w:p>
    <w:p w14:paraId="193B416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56" w:firstLineChars="200"/>
        <w:jc w:val="both"/>
        <w:textAlignment w:val="baseline"/>
        <w:rPr>
          <w:rFonts w:ascii="宋体" w:hAnsi="宋体" w:eastAsia="宋体" w:cs="宋体"/>
          <w:spacing w:val="-6"/>
          <w:sz w:val="24"/>
          <w:szCs w:val="24"/>
        </w:rPr>
      </w:pPr>
    </w:p>
    <w:tbl>
      <w:tblPr>
        <w:tblStyle w:val="20"/>
        <w:tblW w:w="655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61"/>
        <w:gridCol w:w="2476"/>
        <w:gridCol w:w="1428"/>
        <w:gridCol w:w="816"/>
        <w:gridCol w:w="1169"/>
      </w:tblGrid>
      <w:tr w14:paraId="6F76B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8" w:hRule="atLeast"/>
          <w:jc w:val="center"/>
        </w:trPr>
        <w:tc>
          <w:tcPr>
            <w:tcW w:w="6550" w:type="dxa"/>
            <w:gridSpan w:val="5"/>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13CD21">
            <w:pPr>
              <w:keepNext w:val="0"/>
              <w:keepLines w:val="0"/>
              <w:pageBreakBefore w:val="0"/>
              <w:widowControl w:val="0"/>
              <w:suppressLineNumbers w:val="0"/>
              <w:kinsoku w:val="0"/>
              <w:wordWrap/>
              <w:overflowPunct/>
              <w:topLinePunct w:val="0"/>
              <w:autoSpaceDE w:val="0"/>
              <w:autoSpaceDN w:val="0"/>
              <w:bidi w:val="0"/>
              <w:adjustRightInd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sz w:val="16"/>
                <w:szCs w:val="16"/>
                <w:u w:val="none"/>
                <w:lang w:val="en-US" w:eastAsia="zh-CN"/>
              </w:rPr>
              <w:t>人员培训计划</w:t>
            </w:r>
          </w:p>
        </w:tc>
      </w:tr>
      <w:tr w14:paraId="37A02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53F89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编号</w:t>
            </w:r>
          </w:p>
        </w:tc>
        <w:tc>
          <w:tcPr>
            <w:tcW w:w="24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B416D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培训内容</w:t>
            </w:r>
          </w:p>
        </w:tc>
        <w:tc>
          <w:tcPr>
            <w:tcW w:w="142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4A586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培训对象</w:t>
            </w:r>
          </w:p>
        </w:tc>
        <w:tc>
          <w:tcPr>
            <w:tcW w:w="8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FD41A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培训人员</w:t>
            </w:r>
          </w:p>
        </w:tc>
        <w:tc>
          <w:tcPr>
            <w:tcW w:w="116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28833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时间</w:t>
            </w:r>
          </w:p>
        </w:tc>
      </w:tr>
      <w:tr w14:paraId="0F642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3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21E7B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D65A7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CE954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A14FC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6097E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r>
      <w:tr w14:paraId="7EF1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3CAA74">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DBA56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26"/>
                <w:snapToGrid w:val="0"/>
                <w:color w:val="000000"/>
                <w:lang w:val="en-US" w:eastAsia="zh-CN"/>
              </w:rPr>
              <w:t>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CD0C3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2B9CC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EE0B0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r>
      <w:tr w14:paraId="37DBE4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51A63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EF780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26"/>
                <w:snapToGrid w:val="0"/>
                <w:color w:val="000000"/>
                <w:lang w:val="en-US" w:eastAsia="zh-CN"/>
              </w:rPr>
              <w:t>及应对策略</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EF2C0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DE463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F8A28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r>
      <w:tr w14:paraId="3A281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7AF1B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42288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0A0AF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2757A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F511B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r>
      <w:tr w14:paraId="37274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43F763">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8C678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26"/>
                <w:snapToGrid w:val="0"/>
                <w:color w:val="000000"/>
                <w:lang w:val="en-US" w:eastAsia="zh-CN"/>
              </w:rPr>
              <w:t>预案培训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50B97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CB726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李平</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5574F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r>
      <w:tr w14:paraId="0254C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1E1A7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E2FA2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26"/>
                <w:snapToGrid w:val="0"/>
                <w:color w:val="000000"/>
                <w:lang w:val="en-US" w:eastAsia="zh-CN"/>
              </w:rPr>
              <w:t>标准培训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30E6B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92640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4BF25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r>
      <w:tr w14:paraId="61CB01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145CE4">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FFCF1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Style w:val="26"/>
                <w:rFonts w:hint="eastAsia"/>
                <w:snapToGrid w:val="0"/>
                <w:color w:val="000000"/>
                <w:lang w:val="en-US" w:eastAsia="zh-CN"/>
              </w:rPr>
              <w:t>Vue</w:t>
            </w:r>
            <w:r>
              <w:rPr>
                <w:rStyle w:val="26"/>
                <w:snapToGrid w:val="0"/>
                <w:color w:val="000000"/>
                <w:lang w:val="en-US" w:eastAsia="zh-CN"/>
              </w:rPr>
              <w:t>前端框架介绍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00EE0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F4ED2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592E4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5月</w:t>
            </w:r>
          </w:p>
        </w:tc>
      </w:tr>
      <w:tr w14:paraId="5F3A9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3D431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9615F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665FF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7ABD8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A2873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r>
      <w:tr w14:paraId="47FEB5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28CEE2">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AFF8F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D5F89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0DFD6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A1B6A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r>
      <w:tr w14:paraId="62983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D72F4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EA119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数据库规范介绍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DBED1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FD57C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04DF2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r>
      <w:tr w14:paraId="6E1D4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F6F33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608A9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w:t>
            </w:r>
            <w:r>
              <w:rPr>
                <w:rStyle w:val="26"/>
                <w:snapToGrid w:val="0"/>
                <w:color w:val="000000"/>
                <w:lang w:val="en-US" w:eastAsia="zh-CN"/>
              </w:rPr>
              <w:t>服务项目经理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09813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部分人员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AE190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88A24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r>
      <w:tr w14:paraId="77D7F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D4513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D93B3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0D700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EAB71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D99F8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r>
      <w:tr w14:paraId="1634A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785D6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856D3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产品服务化规范</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42059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3251E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bidi="ar-SA"/>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F0EE9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r>
      <w:tr w14:paraId="4F8F49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31058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628D7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云数据中心建设模式和网络安全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80DA6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2AA64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9263B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r>
      <w:tr w14:paraId="46A1B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DAB11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1F7C5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交付规范</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883ED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07EE2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EE77D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r>
      <w:tr w14:paraId="3B5E9E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DCD0A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DA6A61">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59A24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F8194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6056B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r>
      <w:tr w14:paraId="33B31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485D7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46941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E730D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F816A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秦立祥</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9072B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8月</w:t>
            </w:r>
          </w:p>
        </w:tc>
      </w:tr>
      <w:tr w14:paraId="32BA4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C3325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0D955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26"/>
                <w:snapToGrid w:val="0"/>
                <w:color w:val="000000"/>
                <w:lang w:val="en-US" w:eastAsia="zh-CN"/>
              </w:rPr>
              <w:t>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57663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AF3D7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C5CFF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8月</w:t>
            </w:r>
          </w:p>
        </w:tc>
      </w:tr>
      <w:tr w14:paraId="0B05A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27433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F33F9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55C60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4F946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258D7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r>
      <w:tr w14:paraId="0B9A3A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4E68E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DBEA6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A4A46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7F249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198B8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r>
      <w:tr w14:paraId="290F3B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DBFBE4">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C359A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26"/>
                <w:snapToGrid w:val="0"/>
                <w:color w:val="000000"/>
                <w:lang w:val="en-US" w:eastAsia="zh-CN"/>
              </w:rPr>
              <w:t>及应对策略</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2353A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30620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B3454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r>
      <w:tr w14:paraId="347669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618C1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9D67A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D5734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0F9CB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E2775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r>
      <w:tr w14:paraId="4758EA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1"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6FB84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9D3A4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运维服务服务知识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7F57F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全体运维人员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15E86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279ED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r>
      <w:tr w14:paraId="2E959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76149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B239E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BD81A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47D14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EB28A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r>
      <w:tr w14:paraId="65C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B0AD1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D6D1B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26"/>
                <w:snapToGrid w:val="0"/>
                <w:color w:val="000000"/>
                <w:lang w:val="en-US" w:eastAsia="zh-CN"/>
              </w:rPr>
              <w:t>预案培训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113DB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25B2C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李平</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E55A4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r>
      <w:tr w14:paraId="2F40A0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5"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2A227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5FB92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Style w:val="26"/>
                <w:rFonts w:hint="eastAsia"/>
                <w:snapToGrid w:val="0"/>
                <w:color w:val="000000"/>
                <w:lang w:val="en-US" w:eastAsia="zh-CN"/>
              </w:rPr>
              <w:t>vue</w:t>
            </w:r>
            <w:r>
              <w:rPr>
                <w:rStyle w:val="26"/>
                <w:snapToGrid w:val="0"/>
                <w:color w:val="000000"/>
                <w:lang w:val="en-US" w:eastAsia="zh-CN"/>
              </w:rPr>
              <w:t>前端框架介绍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EEB16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1B878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979ED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11月</w:t>
            </w:r>
          </w:p>
        </w:tc>
      </w:tr>
      <w:tr w14:paraId="5661C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7"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F6B42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05365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36641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0B0B1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BD1B2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r>
      <w:tr w14:paraId="074A8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D0C253">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C8654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702D7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51479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BB7C8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r>
      <w:tr w14:paraId="1C474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6FD9E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2B8FF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54B63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27F1E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秦立祥</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19FCC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r>
      <w:tr w14:paraId="53BC8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61270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B603B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26"/>
                <w:snapToGrid w:val="0"/>
                <w:color w:val="000000"/>
                <w:lang w:val="en-US" w:eastAsia="zh-CN"/>
              </w:rPr>
              <w:t>标准培训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A2C3C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F94B0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1136E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1月</w:t>
            </w:r>
          </w:p>
        </w:tc>
      </w:tr>
      <w:tr w14:paraId="0E463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9E2D8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56179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EF93C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81D8A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A7826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1月</w:t>
            </w:r>
          </w:p>
        </w:tc>
      </w:tr>
      <w:tr w14:paraId="1F41E5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60154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B453F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服务数据管理制度培训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A1463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运维部全员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D0E79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2AFEF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2026年1月</w:t>
            </w:r>
          </w:p>
        </w:tc>
      </w:tr>
      <w:tr w14:paraId="0FDA82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5E3CE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7AC0F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版本管理工具培训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FC583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运维部全员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F6D5B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2A286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2026年1月</w:t>
            </w:r>
          </w:p>
        </w:tc>
      </w:tr>
      <w:tr w14:paraId="5FCBB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1A1172">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AF1DC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F813A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E03F1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9D71A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3月</w:t>
            </w:r>
          </w:p>
        </w:tc>
      </w:tr>
      <w:tr w14:paraId="3D19A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37F8E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691CA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A0906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E983A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4C7B1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3月</w:t>
            </w:r>
          </w:p>
        </w:tc>
      </w:tr>
      <w:tr w14:paraId="3FA67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3B087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FD8AF7">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84BEA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5C0A2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B2747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3月</w:t>
            </w:r>
          </w:p>
        </w:tc>
      </w:tr>
      <w:tr w14:paraId="57057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7C8B05">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9EC1CC">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color w:val="000000"/>
                <w:sz w:val="16"/>
                <w:szCs w:val="16"/>
                <w:u w:val="none"/>
                <w:lang w:val="en-US" w:eastAsia="zh-CN"/>
              </w:rPr>
              <w:t>运维服务服务知识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9B775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color w:val="000000"/>
                <w:sz w:val="16"/>
                <w:szCs w:val="16"/>
                <w:u w:val="none"/>
                <w:lang w:val="en-US" w:eastAsia="zh-CN"/>
              </w:rPr>
              <w:t>全体运维人员</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F52AB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7974C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color w:val="000000"/>
                <w:sz w:val="16"/>
                <w:szCs w:val="16"/>
                <w:u w:val="none"/>
                <w:lang w:val="en-US" w:eastAsia="zh-CN"/>
              </w:rPr>
              <w:t>3月</w:t>
            </w:r>
          </w:p>
        </w:tc>
      </w:tr>
      <w:tr w14:paraId="50B4E3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CAD950">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bidi="ar-SA"/>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CAD743">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9604C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8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B05ED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116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E18BB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3月</w:t>
            </w:r>
          </w:p>
        </w:tc>
      </w:tr>
    </w:tbl>
    <w:p w14:paraId="0C3D4D72">
      <w:pPr>
        <w:keepNext w:val="0"/>
        <w:keepLines w:val="0"/>
        <w:pageBreakBefore w:val="0"/>
        <w:widowControl w:val="0"/>
        <w:kinsoku w:val="0"/>
        <w:wordWrap/>
        <w:overflowPunct/>
        <w:topLinePunct w:val="0"/>
        <w:autoSpaceDE w:val="0"/>
        <w:autoSpaceDN w:val="0"/>
        <w:bidi w:val="0"/>
        <w:adjustRightInd w:val="0"/>
        <w:snapToGrid w:val="0"/>
        <w:spacing w:line="93" w:lineRule="exact"/>
      </w:pPr>
      <w:bookmarkStart w:id="156" w:name="_GoBack"/>
      <w:bookmarkEnd w:id="156"/>
    </w:p>
    <w:p w14:paraId="00E8FFEF">
      <w:pPr>
        <w:pStyle w:val="30"/>
        <w:keepNext w:val="0"/>
        <w:keepLines w:val="0"/>
        <w:pageBreakBefore w:val="0"/>
        <w:widowControl w:val="0"/>
        <w:kinsoku w:val="0"/>
        <w:wordWrap/>
        <w:overflowPunct/>
        <w:topLinePunct w:val="0"/>
        <w:autoSpaceDE w:val="0"/>
        <w:autoSpaceDN w:val="0"/>
        <w:bidi w:val="0"/>
        <w:adjustRightInd w:val="0"/>
        <w:snapToGrid w:val="0"/>
      </w:pPr>
      <w:bookmarkStart w:id="34" w:name="_Toc31193"/>
      <w:bookmarkStart w:id="35" w:name="_Toc9054"/>
      <w:bookmarkStart w:id="36" w:name="_Toc28693"/>
      <w:r>
        <w:rPr>
          <w:rFonts w:hint="eastAsia"/>
          <w:lang w:val="en-US" w:eastAsia="zh-CN"/>
        </w:rPr>
        <w:t>备份计划</w:t>
      </w:r>
      <w:bookmarkEnd w:id="34"/>
    </w:p>
    <w:p w14:paraId="339A9DD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为满足公司运维服务要求，避免重要岗位人员休假导致的工作承接问题，依据《人员备份管理制度》开展工作。保证运维服务工作有序进行。人员备份计划如下：</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716"/>
        <w:gridCol w:w="2004"/>
        <w:gridCol w:w="1776"/>
        <w:gridCol w:w="1692"/>
      </w:tblGrid>
      <w:tr w14:paraId="0C7BE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1583DE5F">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编号</w:t>
            </w:r>
          </w:p>
        </w:tc>
        <w:tc>
          <w:tcPr>
            <w:tcW w:w="1716" w:type="dxa"/>
          </w:tcPr>
          <w:p w14:paraId="31A131A2">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A岗位</w:t>
            </w:r>
          </w:p>
        </w:tc>
        <w:tc>
          <w:tcPr>
            <w:tcW w:w="2004" w:type="dxa"/>
          </w:tcPr>
          <w:p w14:paraId="29C88C11">
            <w:pPr>
              <w:pStyle w:val="28"/>
              <w:keepNext w:val="0"/>
              <w:keepLines w:val="0"/>
              <w:pageBreakBefore w:val="0"/>
              <w:widowControl w:val="0"/>
              <w:kinsoku w:val="0"/>
              <w:wordWrap/>
              <w:overflowPunct/>
              <w:topLinePunct w:val="0"/>
              <w:autoSpaceDE w:val="0"/>
              <w:autoSpaceDN w:val="0"/>
              <w:bidi w:val="0"/>
              <w:adjustRightInd w:val="0"/>
              <w:snapToGrid w:val="0"/>
              <w:rPr>
                <w:rFonts w:hint="default"/>
                <w:vertAlign w:val="baseline"/>
                <w:lang w:val="en-US" w:eastAsia="zh-CN"/>
              </w:rPr>
            </w:pPr>
            <w:r>
              <w:rPr>
                <w:rFonts w:hint="eastAsia"/>
                <w:vertAlign w:val="baseline"/>
                <w:lang w:val="en-US" w:eastAsia="zh-CN"/>
              </w:rPr>
              <w:t>B岗</w:t>
            </w:r>
          </w:p>
        </w:tc>
        <w:tc>
          <w:tcPr>
            <w:tcW w:w="1776" w:type="dxa"/>
          </w:tcPr>
          <w:p w14:paraId="3C231CA7">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计划备份人数</w:t>
            </w:r>
          </w:p>
        </w:tc>
        <w:tc>
          <w:tcPr>
            <w:tcW w:w="1692" w:type="dxa"/>
          </w:tcPr>
          <w:p w14:paraId="6FC7BEE8">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计划完成时间</w:t>
            </w:r>
          </w:p>
        </w:tc>
      </w:tr>
      <w:tr w14:paraId="3B2D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139BDC51">
            <w:pPr>
              <w:pStyle w:val="28"/>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rPr>
                <w:rFonts w:hint="default"/>
                <w:vertAlign w:val="baseline"/>
                <w:lang w:val="en-US" w:eastAsia="zh-CN"/>
              </w:rPr>
            </w:pPr>
          </w:p>
        </w:tc>
        <w:tc>
          <w:tcPr>
            <w:tcW w:w="1716" w:type="dxa"/>
          </w:tcPr>
          <w:p w14:paraId="71CA7A7F">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运维部经理</w:t>
            </w:r>
          </w:p>
        </w:tc>
        <w:tc>
          <w:tcPr>
            <w:tcW w:w="2004" w:type="dxa"/>
          </w:tcPr>
          <w:p w14:paraId="25865D8E">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运维项目经理</w:t>
            </w:r>
          </w:p>
        </w:tc>
        <w:tc>
          <w:tcPr>
            <w:tcW w:w="1776" w:type="dxa"/>
          </w:tcPr>
          <w:p w14:paraId="249BD1B3">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2</w:t>
            </w:r>
          </w:p>
        </w:tc>
        <w:tc>
          <w:tcPr>
            <w:tcW w:w="1692" w:type="dxa"/>
          </w:tcPr>
          <w:p w14:paraId="4DC5F34C">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2025年5月</w:t>
            </w:r>
          </w:p>
        </w:tc>
      </w:tr>
      <w:tr w14:paraId="5542D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54A9E6E3">
            <w:pPr>
              <w:pStyle w:val="28"/>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rPr>
                <w:rFonts w:hint="default"/>
                <w:vertAlign w:val="baseline"/>
                <w:lang w:val="en-US" w:eastAsia="zh-CN"/>
              </w:rPr>
            </w:pPr>
          </w:p>
        </w:tc>
        <w:tc>
          <w:tcPr>
            <w:tcW w:w="1716" w:type="dxa"/>
          </w:tcPr>
          <w:p w14:paraId="7F2C24C0">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运维项目经理</w:t>
            </w:r>
          </w:p>
        </w:tc>
        <w:tc>
          <w:tcPr>
            <w:tcW w:w="2004" w:type="dxa"/>
          </w:tcPr>
          <w:p w14:paraId="6E61A43E">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运维实施工程师</w:t>
            </w:r>
          </w:p>
        </w:tc>
        <w:tc>
          <w:tcPr>
            <w:tcW w:w="1776" w:type="dxa"/>
          </w:tcPr>
          <w:p w14:paraId="54C8A709">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1</w:t>
            </w:r>
          </w:p>
        </w:tc>
        <w:tc>
          <w:tcPr>
            <w:tcW w:w="1692" w:type="dxa"/>
          </w:tcPr>
          <w:p w14:paraId="14AEFF17">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eastAsia"/>
                <w:vertAlign w:val="baseline"/>
                <w:lang w:val="en-US" w:eastAsia="zh-CN"/>
              </w:rPr>
            </w:pPr>
            <w:r>
              <w:rPr>
                <w:rFonts w:hint="eastAsia"/>
                <w:vertAlign w:val="baseline"/>
                <w:lang w:val="en-US" w:eastAsia="zh-CN"/>
              </w:rPr>
              <w:t>2025年7月</w:t>
            </w:r>
          </w:p>
        </w:tc>
      </w:tr>
      <w:tr w14:paraId="56DEB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7DFE4B29">
            <w:pPr>
              <w:pStyle w:val="28"/>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rPr>
                <w:rFonts w:hint="default"/>
                <w:vertAlign w:val="baseline"/>
                <w:lang w:val="en-US" w:eastAsia="zh-CN"/>
              </w:rPr>
            </w:pPr>
          </w:p>
        </w:tc>
        <w:tc>
          <w:tcPr>
            <w:tcW w:w="1716" w:type="dxa"/>
          </w:tcPr>
          <w:p w14:paraId="210BE55D">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运维项目经理</w:t>
            </w:r>
          </w:p>
        </w:tc>
        <w:tc>
          <w:tcPr>
            <w:tcW w:w="2004" w:type="dxa"/>
          </w:tcPr>
          <w:p w14:paraId="73EA267E">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运维实施工程师</w:t>
            </w:r>
          </w:p>
        </w:tc>
        <w:tc>
          <w:tcPr>
            <w:tcW w:w="1776" w:type="dxa"/>
          </w:tcPr>
          <w:p w14:paraId="54DCA8EF">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2</w:t>
            </w:r>
          </w:p>
        </w:tc>
        <w:tc>
          <w:tcPr>
            <w:tcW w:w="1692" w:type="dxa"/>
          </w:tcPr>
          <w:p w14:paraId="1AFC74F2">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eastAsia"/>
                <w:vertAlign w:val="baseline"/>
                <w:lang w:val="en-US" w:eastAsia="zh-CN"/>
              </w:rPr>
            </w:pPr>
            <w:r>
              <w:rPr>
                <w:rFonts w:hint="eastAsia"/>
                <w:vertAlign w:val="baseline"/>
                <w:lang w:val="en-US" w:eastAsia="zh-CN"/>
              </w:rPr>
              <w:t>2025年9月</w:t>
            </w:r>
          </w:p>
        </w:tc>
      </w:tr>
      <w:tr w14:paraId="4DA68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5B8E7047">
            <w:pPr>
              <w:pStyle w:val="28"/>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rPr>
                <w:rFonts w:hint="default"/>
                <w:vertAlign w:val="baseline"/>
                <w:lang w:val="en-US" w:eastAsia="zh-CN"/>
              </w:rPr>
            </w:pPr>
          </w:p>
        </w:tc>
        <w:tc>
          <w:tcPr>
            <w:tcW w:w="1716" w:type="dxa"/>
          </w:tcPr>
          <w:p w14:paraId="79965279">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研发部经理</w:t>
            </w:r>
          </w:p>
        </w:tc>
        <w:tc>
          <w:tcPr>
            <w:tcW w:w="2004" w:type="dxa"/>
          </w:tcPr>
          <w:p w14:paraId="59316A57">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系统架构师</w:t>
            </w:r>
          </w:p>
        </w:tc>
        <w:tc>
          <w:tcPr>
            <w:tcW w:w="1776" w:type="dxa"/>
          </w:tcPr>
          <w:p w14:paraId="496586D3">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1</w:t>
            </w:r>
          </w:p>
        </w:tc>
        <w:tc>
          <w:tcPr>
            <w:tcW w:w="1692" w:type="dxa"/>
          </w:tcPr>
          <w:p w14:paraId="2B286F79">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eastAsia"/>
                <w:vertAlign w:val="baseline"/>
                <w:lang w:val="en-US" w:eastAsia="zh-CN"/>
              </w:rPr>
            </w:pPr>
            <w:r>
              <w:rPr>
                <w:rFonts w:hint="eastAsia"/>
                <w:vertAlign w:val="baseline"/>
                <w:lang w:val="en-US" w:eastAsia="zh-CN"/>
              </w:rPr>
              <w:t>2025年11月</w:t>
            </w:r>
          </w:p>
        </w:tc>
      </w:tr>
      <w:tr w14:paraId="394B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25E8643E">
            <w:pPr>
              <w:pStyle w:val="28"/>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rPr>
                <w:rFonts w:hint="default"/>
                <w:vertAlign w:val="baseline"/>
                <w:lang w:val="en-US" w:eastAsia="zh-CN"/>
              </w:rPr>
            </w:pPr>
          </w:p>
        </w:tc>
        <w:tc>
          <w:tcPr>
            <w:tcW w:w="1716" w:type="dxa"/>
          </w:tcPr>
          <w:p w14:paraId="0307E363">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备件库经理</w:t>
            </w:r>
          </w:p>
        </w:tc>
        <w:tc>
          <w:tcPr>
            <w:tcW w:w="2004" w:type="dxa"/>
          </w:tcPr>
          <w:p w14:paraId="75F2AE0C">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default"/>
                <w:vertAlign w:val="baseline"/>
                <w:lang w:val="en-US" w:eastAsia="zh-CN"/>
              </w:rPr>
            </w:pPr>
            <w:r>
              <w:rPr>
                <w:rFonts w:hint="eastAsia"/>
                <w:vertAlign w:val="baseline"/>
                <w:lang w:val="en-US" w:eastAsia="zh-CN"/>
              </w:rPr>
              <w:t>备件库管理专员</w:t>
            </w:r>
          </w:p>
        </w:tc>
        <w:tc>
          <w:tcPr>
            <w:tcW w:w="1776" w:type="dxa"/>
          </w:tcPr>
          <w:p w14:paraId="22FDF45C">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1</w:t>
            </w:r>
          </w:p>
        </w:tc>
        <w:tc>
          <w:tcPr>
            <w:tcW w:w="1692" w:type="dxa"/>
          </w:tcPr>
          <w:p w14:paraId="51D13EED">
            <w:pPr>
              <w:pStyle w:val="28"/>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rPr>
                <w:rFonts w:hint="eastAsia"/>
                <w:vertAlign w:val="baseline"/>
                <w:lang w:val="en-US" w:eastAsia="zh-CN"/>
              </w:rPr>
            </w:pPr>
            <w:r>
              <w:rPr>
                <w:rFonts w:hint="eastAsia"/>
                <w:vertAlign w:val="baseline"/>
                <w:lang w:val="en-US" w:eastAsia="zh-CN"/>
              </w:rPr>
              <w:t>2026年1月</w:t>
            </w:r>
          </w:p>
        </w:tc>
      </w:tr>
    </w:tbl>
    <w:p w14:paraId="2E33AADD">
      <w:pPr>
        <w:pStyle w:val="30"/>
        <w:keepNext w:val="0"/>
        <w:keepLines w:val="0"/>
        <w:pageBreakBefore w:val="0"/>
        <w:widowControl w:val="0"/>
        <w:kinsoku w:val="0"/>
        <w:wordWrap/>
        <w:overflowPunct/>
        <w:topLinePunct w:val="0"/>
        <w:autoSpaceDE w:val="0"/>
        <w:autoSpaceDN w:val="0"/>
        <w:bidi w:val="0"/>
        <w:adjustRightInd w:val="0"/>
        <w:snapToGrid w:val="0"/>
      </w:pPr>
      <w:bookmarkStart w:id="37" w:name="_Toc21080"/>
      <w:r>
        <w:t>绩效考核</w:t>
      </w:r>
      <w:bookmarkEnd w:id="35"/>
      <w:bookmarkEnd w:id="36"/>
      <w:bookmarkEnd w:id="37"/>
    </w:p>
    <w:p w14:paraId="68DA4A4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default" w:ascii="宋体" w:hAnsi="宋体" w:eastAsia="宋体" w:cs="宋体"/>
          <w:spacing w:val="-2"/>
          <w:sz w:val="24"/>
          <w:szCs w:val="24"/>
          <w:lang w:val="en-US" w:eastAsia="zh-CN"/>
        </w:rPr>
      </w:pPr>
      <w:bookmarkStart w:id="38" w:name="bookmark64"/>
      <w:bookmarkEnd w:id="38"/>
      <w:r>
        <w:rPr>
          <w:rFonts w:ascii="宋体" w:hAnsi="宋体" w:eastAsia="宋体" w:cs="宋体"/>
          <w:spacing w:val="-2"/>
          <w:sz w:val="24"/>
          <w:szCs w:val="24"/>
        </w:rPr>
        <w:t>为促进和提高公司经营效率，激发员工积极性，了解和考评员工在各考评时段完成的目标及相关职责情况</w:t>
      </w:r>
      <w:r>
        <w:rPr>
          <w:rFonts w:hint="eastAsia" w:ascii="宋体" w:hAnsi="宋体" w:eastAsia="宋体" w:cs="宋体"/>
          <w:spacing w:val="-2"/>
          <w:sz w:val="24"/>
          <w:szCs w:val="24"/>
          <w:lang w:eastAsia="zh-CN"/>
        </w:rPr>
        <w:t>。</w:t>
      </w:r>
      <w:r>
        <w:rPr>
          <w:rFonts w:hint="eastAsia" w:ascii="宋体" w:hAnsi="宋体" w:eastAsia="宋体" w:cs="宋体"/>
          <w:spacing w:val="-2"/>
          <w:sz w:val="24"/>
          <w:szCs w:val="24"/>
          <w:lang w:val="en-US" w:eastAsia="zh-CN"/>
        </w:rPr>
        <w:t>进行月度考核</w:t>
      </w:r>
    </w:p>
    <w:p w14:paraId="5D105C9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月度绩效考评时段为各自然月，绩效考评实施时间为次月 1 日-4 日，遇节假日提前完成，新入职人员当月出勤不满十五天者不参加月度考评，月度考评实施计划如下：</w:t>
      </w:r>
    </w:p>
    <w:tbl>
      <w:tblPr>
        <w:tblStyle w:val="24"/>
        <w:tblW w:w="832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66"/>
        <w:gridCol w:w="1326"/>
        <w:gridCol w:w="1041"/>
        <w:gridCol w:w="2241"/>
        <w:gridCol w:w="3047"/>
      </w:tblGrid>
      <w:tr w14:paraId="374024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jc w:val="center"/>
        </w:trPr>
        <w:tc>
          <w:tcPr>
            <w:tcW w:w="666" w:type="dxa"/>
          </w:tcPr>
          <w:p w14:paraId="7C1D62C3">
            <w:pPr>
              <w:pStyle w:val="25"/>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94"/>
              <w:rPr>
                <w:sz w:val="24"/>
                <w:szCs w:val="24"/>
              </w:rPr>
            </w:pPr>
            <w:r>
              <w:rPr>
                <w:b/>
                <w:bCs/>
                <w:spacing w:val="-5"/>
                <w:sz w:val="24"/>
                <w:szCs w:val="24"/>
              </w:rPr>
              <w:t>序号</w:t>
            </w:r>
          </w:p>
        </w:tc>
        <w:tc>
          <w:tcPr>
            <w:tcW w:w="1326" w:type="dxa"/>
          </w:tcPr>
          <w:p w14:paraId="477C00A9">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84"/>
              <w:rPr>
                <w:sz w:val="24"/>
                <w:szCs w:val="24"/>
              </w:rPr>
            </w:pPr>
            <w:r>
              <w:rPr>
                <w:b/>
                <w:bCs/>
                <w:spacing w:val="-5"/>
                <w:sz w:val="24"/>
                <w:szCs w:val="24"/>
              </w:rPr>
              <w:t>考评工作</w:t>
            </w:r>
          </w:p>
        </w:tc>
        <w:tc>
          <w:tcPr>
            <w:tcW w:w="1041" w:type="dxa"/>
          </w:tcPr>
          <w:p w14:paraId="76FA7E9B">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294"/>
              <w:rPr>
                <w:sz w:val="24"/>
                <w:szCs w:val="24"/>
              </w:rPr>
            </w:pPr>
            <w:r>
              <w:rPr>
                <w:b/>
                <w:bCs/>
                <w:spacing w:val="-8"/>
                <w:sz w:val="24"/>
                <w:szCs w:val="24"/>
              </w:rPr>
              <w:t>时间</w:t>
            </w:r>
          </w:p>
        </w:tc>
        <w:tc>
          <w:tcPr>
            <w:tcW w:w="2241" w:type="dxa"/>
          </w:tcPr>
          <w:p w14:paraId="24C3D712">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53"/>
              <w:rPr>
                <w:sz w:val="24"/>
                <w:szCs w:val="24"/>
              </w:rPr>
            </w:pPr>
            <w:r>
              <w:rPr>
                <w:b/>
                <w:bCs/>
                <w:spacing w:val="-6"/>
                <w:sz w:val="24"/>
                <w:szCs w:val="24"/>
              </w:rPr>
              <w:t>责任部门/人员</w:t>
            </w:r>
          </w:p>
        </w:tc>
        <w:tc>
          <w:tcPr>
            <w:tcW w:w="3047" w:type="dxa"/>
          </w:tcPr>
          <w:p w14:paraId="3958B2B0">
            <w:pPr>
              <w:pStyle w:val="25"/>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872"/>
              <w:rPr>
                <w:sz w:val="24"/>
                <w:szCs w:val="24"/>
              </w:rPr>
            </w:pPr>
            <w:r>
              <w:rPr>
                <w:b/>
                <w:bCs/>
                <w:spacing w:val="-9"/>
                <w:sz w:val="24"/>
                <w:szCs w:val="24"/>
              </w:rPr>
              <w:t>备注</w:t>
            </w:r>
          </w:p>
        </w:tc>
      </w:tr>
      <w:tr w14:paraId="0A2C42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8" w:hRule="atLeast"/>
          <w:jc w:val="center"/>
        </w:trPr>
        <w:tc>
          <w:tcPr>
            <w:tcW w:w="666" w:type="dxa"/>
          </w:tcPr>
          <w:p w14:paraId="0B96D832">
            <w:pPr>
              <w:pStyle w:val="25"/>
              <w:keepNext w:val="0"/>
              <w:keepLines w:val="0"/>
              <w:pageBreakBefore w:val="0"/>
              <w:widowControl w:val="0"/>
              <w:kinsoku w:val="0"/>
              <w:wordWrap/>
              <w:overflowPunct/>
              <w:topLinePunct w:val="0"/>
              <w:autoSpaceDE w:val="0"/>
              <w:autoSpaceDN w:val="0"/>
              <w:bidi w:val="0"/>
              <w:adjustRightInd w:val="0"/>
              <w:snapToGrid w:val="0"/>
              <w:spacing w:before="283" w:line="241" w:lineRule="auto"/>
              <w:ind w:left="293"/>
              <w:rPr>
                <w:sz w:val="24"/>
                <w:szCs w:val="24"/>
              </w:rPr>
            </w:pPr>
            <w:r>
              <w:rPr>
                <w:sz w:val="24"/>
                <w:szCs w:val="24"/>
              </w:rPr>
              <w:t>1</w:t>
            </w:r>
          </w:p>
        </w:tc>
        <w:tc>
          <w:tcPr>
            <w:tcW w:w="1326" w:type="dxa"/>
          </w:tcPr>
          <w:p w14:paraId="197A963E">
            <w:pPr>
              <w:pStyle w:val="25"/>
              <w:keepNext w:val="0"/>
              <w:keepLines w:val="0"/>
              <w:pageBreakBefore w:val="0"/>
              <w:widowControl w:val="0"/>
              <w:kinsoku w:val="0"/>
              <w:wordWrap/>
              <w:overflowPunct/>
              <w:topLinePunct w:val="0"/>
              <w:autoSpaceDE w:val="0"/>
              <w:autoSpaceDN w:val="0"/>
              <w:bidi w:val="0"/>
              <w:adjustRightInd w:val="0"/>
              <w:snapToGrid w:val="0"/>
              <w:spacing w:before="124" w:line="202" w:lineRule="auto"/>
              <w:ind w:left="463" w:right="181" w:hanging="270"/>
              <w:rPr>
                <w:sz w:val="24"/>
                <w:szCs w:val="24"/>
              </w:rPr>
            </w:pPr>
            <w:r>
              <w:rPr>
                <w:spacing w:val="-5"/>
                <w:sz w:val="24"/>
                <w:szCs w:val="24"/>
              </w:rPr>
              <w:t>员工总结</w:t>
            </w:r>
            <w:r>
              <w:rPr>
                <w:spacing w:val="-13"/>
                <w:sz w:val="24"/>
                <w:szCs w:val="24"/>
              </w:rPr>
              <w:t>自评</w:t>
            </w:r>
          </w:p>
        </w:tc>
        <w:tc>
          <w:tcPr>
            <w:tcW w:w="1041" w:type="dxa"/>
          </w:tcPr>
          <w:p w14:paraId="6C08768B">
            <w:pPr>
              <w:pStyle w:val="25"/>
              <w:keepNext w:val="0"/>
              <w:keepLines w:val="0"/>
              <w:pageBreakBefore w:val="0"/>
              <w:widowControl w:val="0"/>
              <w:kinsoku w:val="0"/>
              <w:wordWrap/>
              <w:overflowPunct/>
              <w:topLinePunct w:val="0"/>
              <w:autoSpaceDE w:val="0"/>
              <w:autoSpaceDN w:val="0"/>
              <w:bidi w:val="0"/>
              <w:adjustRightInd w:val="0"/>
              <w:snapToGrid w:val="0"/>
              <w:spacing w:before="249" w:line="225" w:lineRule="auto"/>
              <w:ind w:left="301"/>
              <w:rPr>
                <w:sz w:val="24"/>
                <w:szCs w:val="24"/>
              </w:rPr>
            </w:pPr>
            <w:r>
              <w:rPr>
                <w:spacing w:val="-14"/>
                <w:sz w:val="24"/>
                <w:szCs w:val="24"/>
              </w:rPr>
              <w:t>1</w:t>
            </w:r>
            <w:r>
              <w:rPr>
                <w:spacing w:val="50"/>
                <w:sz w:val="24"/>
                <w:szCs w:val="24"/>
              </w:rPr>
              <w:t xml:space="preserve"> </w:t>
            </w:r>
            <w:r>
              <w:rPr>
                <w:spacing w:val="-14"/>
                <w:sz w:val="24"/>
                <w:szCs w:val="24"/>
              </w:rPr>
              <w:t>日</w:t>
            </w:r>
          </w:p>
        </w:tc>
        <w:tc>
          <w:tcPr>
            <w:tcW w:w="2241" w:type="dxa"/>
          </w:tcPr>
          <w:p w14:paraId="4E750F40">
            <w:pPr>
              <w:pStyle w:val="25"/>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645"/>
              <w:rPr>
                <w:sz w:val="24"/>
                <w:szCs w:val="24"/>
              </w:rPr>
            </w:pPr>
            <w:r>
              <w:rPr>
                <w:spacing w:val="-2"/>
                <w:sz w:val="24"/>
                <w:szCs w:val="24"/>
              </w:rPr>
              <w:t>被考评人</w:t>
            </w:r>
          </w:p>
        </w:tc>
        <w:tc>
          <w:tcPr>
            <w:tcW w:w="3047" w:type="dxa"/>
          </w:tcPr>
          <w:p w14:paraId="16258DB9">
            <w:pPr>
              <w:pStyle w:val="25"/>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12"/>
              <w:rPr>
                <w:sz w:val="24"/>
                <w:szCs w:val="24"/>
              </w:rPr>
            </w:pPr>
            <w:r>
              <w:rPr>
                <w:spacing w:val="-1"/>
                <w:sz w:val="24"/>
                <w:szCs w:val="24"/>
              </w:rPr>
              <w:t>提交《月度绩效考评表》</w:t>
            </w:r>
          </w:p>
        </w:tc>
      </w:tr>
      <w:tr w14:paraId="7CE6BA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6" w:hRule="atLeast"/>
          <w:jc w:val="center"/>
        </w:trPr>
        <w:tc>
          <w:tcPr>
            <w:tcW w:w="666" w:type="dxa"/>
          </w:tcPr>
          <w:p w14:paraId="24B06D57">
            <w:pPr>
              <w:keepNext w:val="0"/>
              <w:keepLines w:val="0"/>
              <w:pageBreakBefore w:val="0"/>
              <w:widowControl w:val="0"/>
              <w:kinsoku w:val="0"/>
              <w:wordWrap/>
              <w:overflowPunct/>
              <w:topLinePunct w:val="0"/>
              <w:autoSpaceDE w:val="0"/>
              <w:autoSpaceDN w:val="0"/>
              <w:bidi w:val="0"/>
              <w:adjustRightInd w:val="0"/>
              <w:snapToGrid w:val="0"/>
              <w:spacing w:line="255" w:lineRule="auto"/>
              <w:rPr>
                <w:rFonts w:ascii="Arial"/>
                <w:sz w:val="21"/>
              </w:rPr>
            </w:pPr>
          </w:p>
          <w:p w14:paraId="08A42F9F">
            <w:pPr>
              <w:pStyle w:val="25"/>
              <w:keepNext w:val="0"/>
              <w:keepLines w:val="0"/>
              <w:pageBreakBefore w:val="0"/>
              <w:widowControl w:val="0"/>
              <w:kinsoku w:val="0"/>
              <w:wordWrap/>
              <w:overflowPunct/>
              <w:topLinePunct w:val="0"/>
              <w:autoSpaceDE w:val="0"/>
              <w:autoSpaceDN w:val="0"/>
              <w:bidi w:val="0"/>
              <w:adjustRightInd w:val="0"/>
              <w:snapToGrid w:val="0"/>
              <w:spacing w:before="78" w:line="241" w:lineRule="auto"/>
              <w:ind w:left="278"/>
              <w:rPr>
                <w:sz w:val="24"/>
                <w:szCs w:val="24"/>
              </w:rPr>
            </w:pPr>
            <w:r>
              <w:rPr>
                <w:sz w:val="24"/>
                <w:szCs w:val="24"/>
              </w:rPr>
              <w:t>2</w:t>
            </w:r>
          </w:p>
        </w:tc>
        <w:tc>
          <w:tcPr>
            <w:tcW w:w="1326" w:type="dxa"/>
          </w:tcPr>
          <w:p w14:paraId="2F6B15E8">
            <w:pPr>
              <w:pStyle w:val="25"/>
              <w:keepNext w:val="0"/>
              <w:keepLines w:val="0"/>
              <w:pageBreakBefore w:val="0"/>
              <w:widowControl w:val="0"/>
              <w:kinsoku w:val="0"/>
              <w:wordWrap/>
              <w:overflowPunct/>
              <w:topLinePunct w:val="0"/>
              <w:autoSpaceDE w:val="0"/>
              <w:autoSpaceDN w:val="0"/>
              <w:bidi w:val="0"/>
              <w:adjustRightInd w:val="0"/>
              <w:snapToGrid w:val="0"/>
              <w:spacing w:before="52" w:line="218" w:lineRule="auto"/>
              <w:ind w:left="186"/>
              <w:rPr>
                <w:sz w:val="24"/>
                <w:szCs w:val="24"/>
              </w:rPr>
            </w:pPr>
            <w:r>
              <w:rPr>
                <w:spacing w:val="-3"/>
                <w:sz w:val="24"/>
                <w:szCs w:val="24"/>
              </w:rPr>
              <w:t>主管评价</w:t>
            </w:r>
          </w:p>
        </w:tc>
        <w:tc>
          <w:tcPr>
            <w:tcW w:w="1041" w:type="dxa"/>
          </w:tcPr>
          <w:p w14:paraId="135D1A00">
            <w:pPr>
              <w:pStyle w:val="25"/>
              <w:keepNext w:val="0"/>
              <w:keepLines w:val="0"/>
              <w:pageBreakBefore w:val="0"/>
              <w:widowControl w:val="0"/>
              <w:kinsoku w:val="0"/>
              <w:wordWrap/>
              <w:overflowPunct/>
              <w:topLinePunct w:val="0"/>
              <w:autoSpaceDE w:val="0"/>
              <w:autoSpaceDN w:val="0"/>
              <w:bidi w:val="0"/>
              <w:adjustRightInd w:val="0"/>
              <w:snapToGrid w:val="0"/>
              <w:spacing w:before="300" w:line="225" w:lineRule="auto"/>
              <w:ind w:left="166"/>
              <w:rPr>
                <w:sz w:val="24"/>
                <w:szCs w:val="24"/>
              </w:rPr>
            </w:pPr>
            <w:r>
              <w:rPr>
                <w:spacing w:val="-4"/>
                <w:sz w:val="24"/>
                <w:szCs w:val="24"/>
              </w:rPr>
              <w:t>2-3</w:t>
            </w:r>
            <w:r>
              <w:rPr>
                <w:spacing w:val="53"/>
                <w:sz w:val="24"/>
                <w:szCs w:val="24"/>
              </w:rPr>
              <w:t xml:space="preserve"> </w:t>
            </w:r>
            <w:r>
              <w:rPr>
                <w:spacing w:val="-4"/>
                <w:sz w:val="24"/>
                <w:szCs w:val="24"/>
              </w:rPr>
              <w:t>日</w:t>
            </w:r>
          </w:p>
        </w:tc>
        <w:tc>
          <w:tcPr>
            <w:tcW w:w="2241" w:type="dxa"/>
          </w:tcPr>
          <w:p w14:paraId="5000DDBC">
            <w:pPr>
              <w:pStyle w:val="25"/>
              <w:keepNext w:val="0"/>
              <w:keepLines w:val="0"/>
              <w:pageBreakBefore w:val="0"/>
              <w:widowControl w:val="0"/>
              <w:kinsoku w:val="0"/>
              <w:wordWrap/>
              <w:overflowPunct/>
              <w:topLinePunct w:val="0"/>
              <w:autoSpaceDE w:val="0"/>
              <w:autoSpaceDN w:val="0"/>
              <w:bidi w:val="0"/>
              <w:adjustRightInd w:val="0"/>
              <w:snapToGrid w:val="0"/>
              <w:spacing w:before="300" w:line="220" w:lineRule="auto"/>
              <w:ind w:left="107"/>
              <w:rPr>
                <w:sz w:val="24"/>
                <w:szCs w:val="24"/>
              </w:rPr>
            </w:pPr>
            <w:r>
              <w:rPr>
                <w:spacing w:val="-2"/>
                <w:sz w:val="24"/>
                <w:szCs w:val="24"/>
              </w:rPr>
              <w:t>直属主管/间接主管</w:t>
            </w:r>
          </w:p>
        </w:tc>
        <w:tc>
          <w:tcPr>
            <w:tcW w:w="3047" w:type="dxa"/>
          </w:tcPr>
          <w:p w14:paraId="545990B0">
            <w:pPr>
              <w:pStyle w:val="25"/>
              <w:keepNext w:val="0"/>
              <w:keepLines w:val="0"/>
              <w:pageBreakBefore w:val="0"/>
              <w:widowControl w:val="0"/>
              <w:kinsoku w:val="0"/>
              <w:wordWrap/>
              <w:overflowPunct/>
              <w:topLinePunct w:val="0"/>
              <w:autoSpaceDE w:val="0"/>
              <w:autoSpaceDN w:val="0"/>
              <w:bidi w:val="0"/>
              <w:adjustRightInd w:val="0"/>
              <w:snapToGrid w:val="0"/>
              <w:spacing w:before="126" w:line="273" w:lineRule="auto"/>
              <w:ind w:left="14" w:hanging="1"/>
              <w:rPr>
                <w:sz w:val="24"/>
                <w:szCs w:val="24"/>
              </w:rPr>
            </w:pPr>
            <w:r>
              <w:rPr>
                <w:spacing w:val="-2"/>
                <w:sz w:val="24"/>
                <w:szCs w:val="24"/>
              </w:rPr>
              <w:t>直属主管填写评语和考评</w:t>
            </w:r>
            <w:r>
              <w:rPr>
                <w:spacing w:val="47"/>
                <w:sz w:val="24"/>
                <w:szCs w:val="24"/>
              </w:rPr>
              <w:t xml:space="preserve"> </w:t>
            </w:r>
            <w:r>
              <w:rPr>
                <w:spacing w:val="-2"/>
                <w:sz w:val="24"/>
                <w:szCs w:val="24"/>
              </w:rPr>
              <w:t>等级，间接主管确认</w:t>
            </w:r>
          </w:p>
        </w:tc>
      </w:tr>
      <w:tr w14:paraId="1E7A3E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jc w:val="center"/>
        </w:trPr>
        <w:tc>
          <w:tcPr>
            <w:tcW w:w="666" w:type="dxa"/>
          </w:tcPr>
          <w:p w14:paraId="6D44D123">
            <w:pPr>
              <w:pStyle w:val="25"/>
              <w:keepNext w:val="0"/>
              <w:keepLines w:val="0"/>
              <w:pageBreakBefore w:val="0"/>
              <w:widowControl w:val="0"/>
              <w:kinsoku w:val="0"/>
              <w:wordWrap/>
              <w:overflowPunct/>
              <w:topLinePunct w:val="0"/>
              <w:autoSpaceDE w:val="0"/>
              <w:autoSpaceDN w:val="0"/>
              <w:bidi w:val="0"/>
              <w:adjustRightInd w:val="0"/>
              <w:snapToGrid w:val="0"/>
              <w:spacing w:before="262"/>
              <w:ind w:left="280"/>
              <w:outlineLvl w:val="2"/>
              <w:rPr>
                <w:sz w:val="24"/>
                <w:szCs w:val="24"/>
              </w:rPr>
            </w:pPr>
            <w:bookmarkStart w:id="39" w:name="bookmark65"/>
            <w:bookmarkEnd w:id="39"/>
            <w:bookmarkStart w:id="40" w:name="_Toc10852"/>
            <w:bookmarkStart w:id="41" w:name="_Toc13521"/>
            <w:bookmarkStart w:id="42" w:name="_Toc3283"/>
            <w:r>
              <w:rPr>
                <w:sz w:val="24"/>
                <w:szCs w:val="24"/>
              </w:rPr>
              <w:t>3</w:t>
            </w:r>
            <w:bookmarkEnd w:id="40"/>
            <w:bookmarkEnd w:id="41"/>
            <w:bookmarkEnd w:id="42"/>
          </w:p>
        </w:tc>
        <w:tc>
          <w:tcPr>
            <w:tcW w:w="1326" w:type="dxa"/>
          </w:tcPr>
          <w:p w14:paraId="3345AC5D">
            <w:pPr>
              <w:pStyle w:val="25"/>
              <w:keepNext w:val="0"/>
              <w:keepLines w:val="0"/>
              <w:pageBreakBefore w:val="0"/>
              <w:widowControl w:val="0"/>
              <w:kinsoku w:val="0"/>
              <w:wordWrap/>
              <w:overflowPunct/>
              <w:topLinePunct w:val="0"/>
              <w:autoSpaceDE w:val="0"/>
              <w:autoSpaceDN w:val="0"/>
              <w:bidi w:val="0"/>
              <w:adjustRightInd w:val="0"/>
              <w:snapToGrid w:val="0"/>
              <w:spacing w:before="229" w:line="220" w:lineRule="auto"/>
              <w:ind w:left="186"/>
              <w:rPr>
                <w:sz w:val="24"/>
                <w:szCs w:val="24"/>
              </w:rPr>
            </w:pPr>
            <w:r>
              <w:rPr>
                <w:spacing w:val="-3"/>
                <w:sz w:val="24"/>
                <w:szCs w:val="24"/>
              </w:rPr>
              <w:t>成绩汇总</w:t>
            </w:r>
          </w:p>
        </w:tc>
        <w:tc>
          <w:tcPr>
            <w:tcW w:w="1041" w:type="dxa"/>
          </w:tcPr>
          <w:p w14:paraId="26C53D1E">
            <w:pPr>
              <w:pStyle w:val="25"/>
              <w:keepNext w:val="0"/>
              <w:keepLines w:val="0"/>
              <w:pageBreakBefore w:val="0"/>
              <w:widowControl w:val="0"/>
              <w:kinsoku w:val="0"/>
              <w:wordWrap/>
              <w:overflowPunct/>
              <w:topLinePunct w:val="0"/>
              <w:autoSpaceDE w:val="0"/>
              <w:autoSpaceDN w:val="0"/>
              <w:bidi w:val="0"/>
              <w:adjustRightInd w:val="0"/>
              <w:snapToGrid w:val="0"/>
              <w:spacing w:before="228" w:line="225" w:lineRule="auto"/>
              <w:ind w:left="282"/>
              <w:rPr>
                <w:sz w:val="24"/>
                <w:szCs w:val="24"/>
              </w:rPr>
            </w:pPr>
            <w:r>
              <w:rPr>
                <w:spacing w:val="-5"/>
                <w:sz w:val="24"/>
                <w:szCs w:val="24"/>
              </w:rPr>
              <w:t>4</w:t>
            </w:r>
            <w:r>
              <w:rPr>
                <w:spacing w:val="51"/>
                <w:sz w:val="24"/>
                <w:szCs w:val="24"/>
              </w:rPr>
              <w:t xml:space="preserve"> </w:t>
            </w:r>
            <w:r>
              <w:rPr>
                <w:spacing w:val="-5"/>
                <w:sz w:val="24"/>
                <w:szCs w:val="24"/>
              </w:rPr>
              <w:t>日</w:t>
            </w:r>
          </w:p>
        </w:tc>
        <w:tc>
          <w:tcPr>
            <w:tcW w:w="2241" w:type="dxa"/>
          </w:tcPr>
          <w:p w14:paraId="6B0FE475">
            <w:pPr>
              <w:pStyle w:val="25"/>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527"/>
              <w:rPr>
                <w:sz w:val="24"/>
                <w:szCs w:val="24"/>
              </w:rPr>
            </w:pPr>
            <w:r>
              <w:rPr>
                <w:spacing w:val="-2"/>
                <w:sz w:val="24"/>
                <w:szCs w:val="24"/>
              </w:rPr>
              <w:t>人力资源部</w:t>
            </w:r>
          </w:p>
        </w:tc>
        <w:tc>
          <w:tcPr>
            <w:tcW w:w="3047" w:type="dxa"/>
          </w:tcPr>
          <w:p w14:paraId="62BECE7C">
            <w:pPr>
              <w:pStyle w:val="25"/>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11"/>
              <w:rPr>
                <w:sz w:val="24"/>
                <w:szCs w:val="24"/>
              </w:rPr>
            </w:pPr>
            <w:r>
              <w:rPr>
                <w:spacing w:val="-2"/>
                <w:sz w:val="24"/>
                <w:szCs w:val="24"/>
              </w:rPr>
              <w:t>汇总考核成绩</w:t>
            </w:r>
          </w:p>
        </w:tc>
      </w:tr>
    </w:tbl>
    <w:p w14:paraId="09FF670B">
      <w:pPr>
        <w:pStyle w:val="30"/>
        <w:keepNext w:val="0"/>
        <w:keepLines w:val="0"/>
        <w:pageBreakBefore w:val="0"/>
        <w:widowControl w:val="0"/>
        <w:kinsoku w:val="0"/>
        <w:wordWrap/>
        <w:overflowPunct/>
        <w:topLinePunct w:val="0"/>
        <w:autoSpaceDE w:val="0"/>
        <w:autoSpaceDN w:val="0"/>
        <w:bidi w:val="0"/>
        <w:adjustRightInd w:val="0"/>
        <w:snapToGrid w:val="0"/>
      </w:pPr>
      <w:bookmarkStart w:id="43" w:name="_Toc27050"/>
      <w:bookmarkStart w:id="44" w:name="_Toc21869"/>
      <w:bookmarkStart w:id="45" w:name="_Toc7790"/>
      <w:r>
        <w:rPr>
          <w:rFonts w:hint="eastAsia"/>
          <w:lang w:val="en-US" w:eastAsia="zh-CN"/>
        </w:rPr>
        <w:t>技能评价</w:t>
      </w:r>
      <w:bookmarkEnd w:id="43"/>
    </w:p>
    <w:p w14:paraId="4199C95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pPr>
      <w:r>
        <w:rPr>
          <w:rFonts w:hint="eastAsia" w:ascii="宋体" w:hAnsi="宋体" w:eastAsia="宋体" w:cs="宋体"/>
          <w:spacing w:val="-1"/>
          <w:sz w:val="24"/>
          <w:szCs w:val="24"/>
          <w:lang w:val="en-US" w:eastAsia="zh-CN"/>
        </w:rPr>
        <w:t>依据《技能评价管理制度》技能评价于</w:t>
      </w:r>
      <w:r>
        <w:rPr>
          <w:rFonts w:hint="eastAsia" w:ascii="宋体" w:hAnsi="宋体" w:cs="宋体"/>
          <w:spacing w:val="-1"/>
          <w:sz w:val="24"/>
          <w:szCs w:val="24"/>
          <w:lang w:val="en-US" w:eastAsia="zh-CN"/>
        </w:rPr>
        <w:t>2026年3</w:t>
      </w:r>
      <w:r>
        <w:rPr>
          <w:rFonts w:hint="eastAsia" w:ascii="宋体" w:hAnsi="宋体" w:eastAsia="宋体" w:cs="宋体"/>
          <w:spacing w:val="-1"/>
          <w:sz w:val="24"/>
          <w:szCs w:val="24"/>
          <w:lang w:val="en-US" w:eastAsia="zh-CN"/>
        </w:rPr>
        <w:t>月第一周进行。</w:t>
      </w:r>
    </w:p>
    <w:p w14:paraId="21A69F0D">
      <w:pPr>
        <w:pStyle w:val="27"/>
        <w:keepNext w:val="0"/>
        <w:keepLines w:val="0"/>
        <w:pageBreakBefore w:val="0"/>
        <w:widowControl w:val="0"/>
        <w:shd w:val="clear" w:color="auto" w:fill="auto"/>
        <w:kinsoku w:val="0"/>
        <w:wordWrap/>
        <w:overflowPunct/>
        <w:topLinePunct w:val="0"/>
        <w:autoSpaceDE w:val="0"/>
        <w:autoSpaceDN w:val="0"/>
        <w:bidi w:val="0"/>
        <w:adjustRightInd w:val="0"/>
        <w:snapToGrid w:val="0"/>
      </w:pPr>
      <w:bookmarkStart w:id="46" w:name="_Toc26048"/>
      <w:r>
        <w:t>资源方面</w:t>
      </w:r>
      <w:bookmarkEnd w:id="44"/>
      <w:bookmarkEnd w:id="45"/>
      <w:bookmarkEnd w:id="46"/>
    </w:p>
    <w:p w14:paraId="52ADA6CC">
      <w:pPr>
        <w:pStyle w:val="29"/>
        <w:keepNext w:val="0"/>
        <w:keepLines w:val="0"/>
        <w:pageBreakBefore w:val="0"/>
        <w:widowControl w:val="0"/>
        <w:kinsoku w:val="0"/>
        <w:wordWrap/>
        <w:overflowPunct/>
        <w:topLinePunct w:val="0"/>
        <w:autoSpaceDE w:val="0"/>
        <w:autoSpaceDN w:val="0"/>
        <w:bidi w:val="0"/>
        <w:adjustRightInd w:val="0"/>
        <w:snapToGrid w:val="0"/>
      </w:pPr>
      <w:bookmarkStart w:id="47" w:name="_Toc21341"/>
      <w:r>
        <w:t>现状分析</w:t>
      </w:r>
      <w:bookmarkEnd w:id="47"/>
    </w:p>
    <w:p w14:paraId="52A00D9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经过多年的运行和发展，运维服务团队结合客户业务运维的特点，已形成一套适合我司信息化发展特点的</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管理规范，包括</w:t>
      </w:r>
      <w:r>
        <w:rPr>
          <w:rFonts w:hint="eastAsia" w:ascii="宋体" w:hAnsi="宋体" w:eastAsia="宋体" w:cs="宋体"/>
          <w:spacing w:val="-2"/>
          <w:sz w:val="24"/>
          <w:szCs w:val="24"/>
          <w:lang w:val="en-US" w:eastAsia="zh-CN"/>
        </w:rPr>
        <w:t>运维工具、服务台、备件库、服务知识、最终软件库和服务数据</w:t>
      </w:r>
      <w:r>
        <w:rPr>
          <w:rFonts w:ascii="宋体" w:hAnsi="宋体" w:eastAsia="宋体" w:cs="宋体"/>
          <w:spacing w:val="-2"/>
          <w:sz w:val="24"/>
          <w:szCs w:val="24"/>
        </w:rPr>
        <w:t>。现需要对这</w:t>
      </w:r>
      <w:r>
        <w:rPr>
          <w:rFonts w:hint="eastAsia" w:ascii="宋体" w:hAnsi="宋体" w:eastAsia="宋体" w:cs="宋体"/>
          <w:spacing w:val="-2"/>
          <w:sz w:val="24"/>
          <w:szCs w:val="24"/>
          <w:lang w:val="en-US" w:eastAsia="zh-CN"/>
        </w:rPr>
        <w:t>6</w:t>
      </w:r>
      <w:r>
        <w:rPr>
          <w:rFonts w:ascii="宋体" w:hAnsi="宋体" w:eastAsia="宋体" w:cs="宋体"/>
          <w:spacing w:val="-2"/>
          <w:sz w:val="24"/>
          <w:szCs w:val="24"/>
        </w:rPr>
        <w:t>个</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进行持续落实与优化，持续改进</w:t>
      </w:r>
      <w:r>
        <w:rPr>
          <w:rFonts w:hint="eastAsia" w:ascii="宋体" w:hAnsi="宋体" w:eastAsia="宋体" w:cs="宋体"/>
          <w:spacing w:val="-2"/>
          <w:sz w:val="24"/>
          <w:szCs w:val="24"/>
          <w:lang w:val="en-US" w:eastAsia="zh-CN"/>
        </w:rPr>
        <w:t>最终软件库、服务数据</w:t>
      </w:r>
      <w:r>
        <w:rPr>
          <w:rFonts w:ascii="宋体" w:hAnsi="宋体" w:eastAsia="宋体" w:cs="宋体"/>
          <w:spacing w:val="-2"/>
          <w:sz w:val="24"/>
          <w:szCs w:val="24"/>
        </w:rPr>
        <w:t>等</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，以便在符合业务运行情况下满足ITSS相关要求。</w:t>
      </w:r>
    </w:p>
    <w:p w14:paraId="220122A1">
      <w:pPr>
        <w:pStyle w:val="29"/>
        <w:keepNext w:val="0"/>
        <w:keepLines w:val="0"/>
        <w:pageBreakBefore w:val="0"/>
        <w:widowControl w:val="0"/>
        <w:kinsoku w:val="0"/>
        <w:wordWrap/>
        <w:overflowPunct/>
        <w:topLinePunct w:val="0"/>
        <w:autoSpaceDE w:val="0"/>
        <w:autoSpaceDN w:val="0"/>
        <w:bidi w:val="0"/>
        <w:adjustRightInd w:val="0"/>
        <w:snapToGrid w:val="0"/>
      </w:pPr>
      <w:bookmarkStart w:id="48" w:name="_Toc22488"/>
      <w:r>
        <w:rPr>
          <w:rFonts w:hint="eastAsia"/>
          <w:lang w:val="en-US" w:eastAsia="zh-CN"/>
        </w:rPr>
        <w:t>改进目标</w:t>
      </w:r>
      <w:bookmarkEnd w:id="48"/>
    </w:p>
    <w:p w14:paraId="16A6C810">
      <w:pPr>
        <w:pStyle w:val="30"/>
        <w:keepNext w:val="0"/>
        <w:keepLines w:val="0"/>
        <w:pageBreakBefore w:val="0"/>
        <w:widowControl w:val="0"/>
        <w:kinsoku w:val="0"/>
        <w:wordWrap/>
        <w:overflowPunct/>
        <w:topLinePunct w:val="0"/>
        <w:autoSpaceDE w:val="0"/>
        <w:autoSpaceDN w:val="0"/>
        <w:bidi w:val="0"/>
        <w:adjustRightInd w:val="0"/>
        <w:snapToGrid w:val="0"/>
      </w:pPr>
      <w:bookmarkStart w:id="49" w:name="_Toc18853"/>
      <w:r>
        <w:t>运维工具</w:t>
      </w:r>
      <w:bookmarkEnd w:id="49"/>
    </w:p>
    <w:p w14:paraId="3B9E844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为了提高公司运维服务管理的效率和质量，落实运维工具使用，与运维工具研发团队沟通运维管理平台优化方案；定期对运维工具进行使用情况评估。</w:t>
      </w:r>
    </w:p>
    <w:p w14:paraId="50325AF0">
      <w:pPr>
        <w:pStyle w:val="30"/>
        <w:keepNext w:val="0"/>
        <w:keepLines w:val="0"/>
        <w:pageBreakBefore w:val="0"/>
        <w:widowControl w:val="0"/>
        <w:kinsoku w:val="0"/>
        <w:wordWrap/>
        <w:overflowPunct/>
        <w:topLinePunct w:val="0"/>
        <w:autoSpaceDE w:val="0"/>
        <w:autoSpaceDN w:val="0"/>
        <w:bidi w:val="0"/>
        <w:adjustRightInd w:val="0"/>
        <w:snapToGrid w:val="0"/>
      </w:pPr>
      <w:bookmarkStart w:id="50" w:name="_Toc239"/>
      <w:r>
        <w:t>服务台建设</w:t>
      </w:r>
      <w:bookmarkEnd w:id="50"/>
    </w:p>
    <w:p w14:paraId="4BCDB16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计划在2025年4月至2026年3月，严格要求服务台人员的操作，并完成服务请求应答工作，并优化服务台人员的绩效考核指标并按照考核周期进行考核。对服务台人员录入事件的完整性按季度进行考核，目标值为≥95%。保证服务台人员适合其岗位能力的要求，持续改进服务台的服务水平，对服务台人员加强业务培训，持续提高一线业务解决率。</w:t>
      </w:r>
    </w:p>
    <w:p w14:paraId="64E842C1">
      <w:pPr>
        <w:pStyle w:val="30"/>
        <w:keepNext w:val="0"/>
        <w:keepLines w:val="0"/>
        <w:pageBreakBefore w:val="0"/>
        <w:widowControl w:val="0"/>
        <w:kinsoku w:val="0"/>
        <w:wordWrap/>
        <w:overflowPunct/>
        <w:topLinePunct w:val="0"/>
        <w:autoSpaceDE w:val="0"/>
        <w:autoSpaceDN w:val="0"/>
        <w:bidi w:val="0"/>
        <w:adjustRightInd w:val="0"/>
        <w:snapToGrid w:val="0"/>
      </w:pPr>
      <w:bookmarkStart w:id="51" w:name="_Toc21935"/>
      <w:r>
        <w:t>备品备件</w:t>
      </w:r>
      <w:bookmarkEnd w:id="51"/>
    </w:p>
    <w:p w14:paraId="6BB5A1C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z w:val="24"/>
          <w:szCs w:val="24"/>
        </w:rPr>
      </w:pPr>
      <w:r>
        <w:rPr>
          <w:rFonts w:hint="eastAsia" w:ascii="宋体" w:hAnsi="宋体" w:eastAsia="宋体" w:cs="宋体"/>
          <w:spacing w:val="-2"/>
          <w:sz w:val="24"/>
          <w:szCs w:val="24"/>
          <w:lang w:val="en-US" w:eastAsia="zh-CN"/>
        </w:rPr>
        <w:t>计划在2025年4月至2026年3月，对备件库管理表单进行优化、发布，做好备件采购、报废处理以及供应商评估等工作。备件管理员对库存备件持续定期进行盘点,盘点范围包括：单、物相符，要求库存备件数据准确率能够达到≥99%，且备件可用率达到95%的目标值。</w:t>
      </w:r>
    </w:p>
    <w:p w14:paraId="3E21FAE4">
      <w:pPr>
        <w:pStyle w:val="30"/>
        <w:keepNext w:val="0"/>
        <w:keepLines w:val="0"/>
        <w:pageBreakBefore w:val="0"/>
        <w:widowControl w:val="0"/>
        <w:kinsoku w:val="0"/>
        <w:wordWrap/>
        <w:overflowPunct/>
        <w:topLinePunct w:val="0"/>
        <w:autoSpaceDE w:val="0"/>
        <w:autoSpaceDN w:val="0"/>
        <w:bidi w:val="0"/>
        <w:adjustRightInd w:val="0"/>
        <w:snapToGrid w:val="0"/>
      </w:pPr>
      <w:bookmarkStart w:id="52" w:name="_Toc17795"/>
      <w:r>
        <w:rPr>
          <w:rFonts w:hint="eastAsia"/>
          <w:lang w:val="en-US" w:eastAsia="zh-CN"/>
        </w:rPr>
        <w:t>服务</w:t>
      </w:r>
      <w:r>
        <w:t>知识</w:t>
      </w:r>
      <w:bookmarkEnd w:id="52"/>
    </w:p>
    <w:p w14:paraId="1DD064D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计划在2025年4月至2026年3月，持续对运维相关人员进行运维服务知识库的培训，并根据业务、项目对知识进行有效地分类、索引，以便于为事件和问题处理提供有效的、可用的、系统化的知识。另外，对知识条目进行重新梳理分类，根据知识条目的具体内容和信息安全要求，设置信息安全权限，设定灵活的搜索、查询功能，并且对条目的使用进行实用性评估。并且对知识库的管理指标为：季度新增知识条目≥40 条。</w:t>
      </w:r>
    </w:p>
    <w:p w14:paraId="2C5BCF2F">
      <w:pPr>
        <w:pStyle w:val="30"/>
        <w:keepNext w:val="0"/>
        <w:keepLines w:val="0"/>
        <w:pageBreakBefore w:val="0"/>
        <w:widowControl w:val="0"/>
        <w:kinsoku w:val="0"/>
        <w:wordWrap/>
        <w:overflowPunct/>
        <w:topLinePunct w:val="0"/>
        <w:autoSpaceDE w:val="0"/>
        <w:autoSpaceDN w:val="0"/>
        <w:bidi w:val="0"/>
        <w:adjustRightInd w:val="0"/>
        <w:snapToGrid w:val="0"/>
      </w:pPr>
      <w:bookmarkStart w:id="53" w:name="_Toc20988"/>
      <w:r>
        <w:rPr>
          <w:rFonts w:hint="eastAsia"/>
          <w:lang w:val="en-US" w:eastAsia="zh-CN"/>
        </w:rPr>
        <w:t>最终软件库</w:t>
      </w:r>
      <w:bookmarkEnd w:id="53"/>
    </w:p>
    <w:p w14:paraId="3EAEAF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严格按照最终软件库管理制度开展工作,提高公司运维服务管理的效率和质量，软件版本正确率达到95%以上。</w:t>
      </w:r>
    </w:p>
    <w:p w14:paraId="6B0B0C76">
      <w:pPr>
        <w:pStyle w:val="30"/>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54" w:name="_Toc26147"/>
      <w:r>
        <w:rPr>
          <w:rFonts w:hint="eastAsia"/>
          <w:lang w:val="en-US" w:eastAsia="zh-CN"/>
        </w:rPr>
        <w:t>服务数据</w:t>
      </w:r>
      <w:bookmarkEnd w:id="54"/>
    </w:p>
    <w:p w14:paraId="6ABDA18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textAlignment w:val="baseline"/>
      </w:pPr>
      <w:r>
        <w:rPr>
          <w:rFonts w:hint="eastAsia" w:ascii="宋体" w:hAnsi="宋体" w:eastAsia="宋体" w:cs="宋体"/>
          <w:spacing w:val="-2"/>
          <w:sz w:val="24"/>
          <w:szCs w:val="24"/>
          <w:lang w:val="en-US" w:eastAsia="zh-CN"/>
        </w:rPr>
        <w:t>严格按照服务数据管理规范进行数据出入库管理,提高公司运维服务管理的效率和质量，服务数据评估次数每季度至少进行一次。</w:t>
      </w:r>
    </w:p>
    <w:p w14:paraId="42691D03">
      <w:pPr>
        <w:pStyle w:val="29"/>
        <w:keepNext w:val="0"/>
        <w:keepLines w:val="0"/>
        <w:pageBreakBefore w:val="0"/>
        <w:widowControl w:val="0"/>
        <w:kinsoku w:val="0"/>
        <w:wordWrap/>
        <w:overflowPunct/>
        <w:topLinePunct w:val="0"/>
        <w:autoSpaceDE w:val="0"/>
        <w:autoSpaceDN w:val="0"/>
        <w:bidi w:val="0"/>
        <w:adjustRightInd w:val="0"/>
        <w:snapToGrid w:val="0"/>
      </w:pPr>
      <w:bookmarkStart w:id="55" w:name="_Toc21671"/>
      <w:r>
        <w:rPr>
          <w:rFonts w:hint="eastAsia"/>
          <w:lang w:val="en-US" w:eastAsia="zh-CN"/>
        </w:rPr>
        <w:t>实施计划</w:t>
      </w:r>
      <w:bookmarkEnd w:id="55"/>
    </w:p>
    <w:tbl>
      <w:tblPr>
        <w:tblStyle w:val="24"/>
        <w:tblW w:w="9359" w:type="dxa"/>
        <w:tblInd w:w="3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61"/>
        <w:gridCol w:w="1598"/>
        <w:gridCol w:w="1099"/>
        <w:gridCol w:w="3001"/>
      </w:tblGrid>
      <w:tr w14:paraId="434E70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3661" w:type="dxa"/>
          </w:tcPr>
          <w:p w14:paraId="442D9580">
            <w:pPr>
              <w:pStyle w:val="25"/>
              <w:keepNext w:val="0"/>
              <w:keepLines w:val="0"/>
              <w:pageBreakBefore w:val="0"/>
              <w:widowControl w:val="0"/>
              <w:kinsoku w:val="0"/>
              <w:wordWrap/>
              <w:overflowPunct/>
              <w:topLinePunct w:val="0"/>
              <w:autoSpaceDE w:val="0"/>
              <w:autoSpaceDN w:val="0"/>
              <w:bidi w:val="0"/>
              <w:adjustRightInd w:val="0"/>
              <w:snapToGrid w:val="0"/>
              <w:spacing w:before="145" w:line="222" w:lineRule="auto"/>
              <w:ind w:left="1635"/>
              <w:rPr>
                <w:sz w:val="20"/>
                <w:szCs w:val="20"/>
              </w:rPr>
            </w:pPr>
            <w:bookmarkStart w:id="56" w:name="_Toc12586"/>
            <w:bookmarkStart w:id="57" w:name="_Toc28221"/>
            <w:r>
              <w:rPr>
                <w:b/>
                <w:bCs/>
                <w:spacing w:val="-5"/>
                <w:sz w:val="20"/>
                <w:szCs w:val="20"/>
              </w:rPr>
              <w:t>名称</w:t>
            </w:r>
          </w:p>
        </w:tc>
        <w:tc>
          <w:tcPr>
            <w:tcW w:w="1598" w:type="dxa"/>
          </w:tcPr>
          <w:p w14:paraId="5A321CD6">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201"/>
              <w:rPr>
                <w:sz w:val="20"/>
                <w:szCs w:val="20"/>
              </w:rPr>
            </w:pPr>
            <w:r>
              <w:rPr>
                <w:b/>
                <w:bCs/>
                <w:spacing w:val="-4"/>
                <w:sz w:val="20"/>
                <w:szCs w:val="20"/>
              </w:rPr>
              <w:t>计划实施时间</w:t>
            </w:r>
          </w:p>
        </w:tc>
        <w:tc>
          <w:tcPr>
            <w:tcW w:w="1099" w:type="dxa"/>
          </w:tcPr>
          <w:p w14:paraId="0C4E124F">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61"/>
              <w:rPr>
                <w:sz w:val="20"/>
                <w:szCs w:val="20"/>
              </w:rPr>
            </w:pPr>
            <w:r>
              <w:rPr>
                <w:b/>
                <w:bCs/>
                <w:spacing w:val="-6"/>
                <w:sz w:val="20"/>
                <w:szCs w:val="20"/>
              </w:rPr>
              <w:t>负责部门</w:t>
            </w:r>
          </w:p>
        </w:tc>
        <w:tc>
          <w:tcPr>
            <w:tcW w:w="3001" w:type="dxa"/>
          </w:tcPr>
          <w:p w14:paraId="6DA2AC9D">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206"/>
              <w:rPr>
                <w:sz w:val="20"/>
                <w:szCs w:val="20"/>
              </w:rPr>
            </w:pPr>
            <w:r>
              <w:rPr>
                <w:b/>
                <w:bCs/>
                <w:spacing w:val="-5"/>
                <w:sz w:val="20"/>
                <w:szCs w:val="20"/>
              </w:rPr>
              <w:t>成果物</w:t>
            </w:r>
          </w:p>
        </w:tc>
      </w:tr>
      <w:tr w14:paraId="2A7547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6CAD1F7E">
            <w:pPr>
              <w:pStyle w:val="25"/>
              <w:keepNext w:val="0"/>
              <w:keepLines w:val="0"/>
              <w:pageBreakBefore w:val="0"/>
              <w:widowControl w:val="0"/>
              <w:kinsoku w:val="0"/>
              <w:wordWrap/>
              <w:overflowPunct/>
              <w:topLinePunct w:val="0"/>
              <w:autoSpaceDE w:val="0"/>
              <w:autoSpaceDN w:val="0"/>
              <w:bidi w:val="0"/>
              <w:adjustRightInd w:val="0"/>
              <w:snapToGrid w:val="0"/>
              <w:spacing w:before="141" w:line="221" w:lineRule="auto"/>
              <w:ind w:left="114"/>
              <w:rPr>
                <w:sz w:val="20"/>
                <w:szCs w:val="20"/>
              </w:rPr>
            </w:pPr>
            <w:r>
              <w:rPr>
                <w:b/>
                <w:bCs/>
                <w:spacing w:val="-7"/>
                <w:sz w:val="20"/>
                <w:szCs w:val="20"/>
              </w:rPr>
              <w:t>一、工具</w:t>
            </w:r>
          </w:p>
        </w:tc>
        <w:tc>
          <w:tcPr>
            <w:tcW w:w="1598" w:type="dxa"/>
          </w:tcPr>
          <w:p w14:paraId="34D4CD93">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60385F74">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14:paraId="2BC25A1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533DA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20AE6C6F">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5033E0D5">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运维工具的使用培训</w:t>
            </w:r>
          </w:p>
        </w:tc>
        <w:tc>
          <w:tcPr>
            <w:tcW w:w="1598" w:type="dxa"/>
          </w:tcPr>
          <w:p w14:paraId="07DCF6E5">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1B5A65F7">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jc w:val="center"/>
              <w:rPr>
                <w:rFonts w:hint="eastAsia"/>
                <w:spacing w:val="-5"/>
                <w:sz w:val="20"/>
                <w:szCs w:val="20"/>
                <w:lang w:val="en-US" w:eastAsia="zh-CN"/>
              </w:rPr>
            </w:pPr>
            <w:r>
              <w:rPr>
                <w:rFonts w:hint="eastAsia"/>
                <w:spacing w:val="-5"/>
                <w:sz w:val="20"/>
                <w:szCs w:val="20"/>
                <w:lang w:val="en-US" w:eastAsia="zh-CN"/>
              </w:rPr>
              <w:t>2025年6月</w:t>
            </w:r>
          </w:p>
          <w:p w14:paraId="5C593D09">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jc w:val="center"/>
              <w:rPr>
                <w:rFonts w:hint="default" w:eastAsia="宋体"/>
                <w:sz w:val="20"/>
                <w:szCs w:val="20"/>
                <w:lang w:val="en-US" w:eastAsia="zh-CN"/>
              </w:rPr>
            </w:pPr>
            <w:r>
              <w:rPr>
                <w:rFonts w:hint="eastAsia"/>
                <w:spacing w:val="-5"/>
                <w:sz w:val="20"/>
                <w:szCs w:val="20"/>
                <w:lang w:val="en-US" w:eastAsia="zh-CN"/>
              </w:rPr>
              <w:t>2026年1月</w:t>
            </w:r>
          </w:p>
        </w:tc>
        <w:tc>
          <w:tcPr>
            <w:tcW w:w="1099" w:type="dxa"/>
          </w:tcPr>
          <w:p w14:paraId="140E28DF">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p w14:paraId="6756EC65">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人力资源部</w:t>
            </w:r>
          </w:p>
        </w:tc>
        <w:tc>
          <w:tcPr>
            <w:tcW w:w="3001" w:type="dxa"/>
          </w:tcPr>
          <w:p w14:paraId="323F9E5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0AFAA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67839145">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3363B020">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运维工具的持续改进</w:t>
            </w:r>
          </w:p>
        </w:tc>
        <w:tc>
          <w:tcPr>
            <w:tcW w:w="1598" w:type="dxa"/>
          </w:tcPr>
          <w:p w14:paraId="7D27F5C0">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18A2A056">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23543F7A">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38BF6F4">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w:t>
            </w:r>
            <w:r>
              <w:rPr>
                <w:rFonts w:hint="eastAsia" w:cs="Arial"/>
                <w:snapToGrid w:val="0"/>
                <w:color w:val="000000"/>
                <w:kern w:val="0"/>
                <w:sz w:val="21"/>
                <w:szCs w:val="21"/>
                <w:lang w:val="en-US" w:eastAsia="zh-CN" w:bidi="ar-SA"/>
              </w:rPr>
              <w:t>移动端监控拓展需求规格说明书</w:t>
            </w:r>
            <w:r>
              <w:rPr>
                <w:rFonts w:hint="eastAsia" w:eastAsia="宋体" w:cs="Arial"/>
                <w:snapToGrid w:val="0"/>
                <w:color w:val="000000"/>
                <w:kern w:val="0"/>
                <w:sz w:val="21"/>
                <w:szCs w:val="21"/>
                <w:lang w:val="en-US" w:eastAsia="zh-CN" w:bidi="ar-SA"/>
              </w:rPr>
              <w:t>》</w:t>
            </w:r>
          </w:p>
        </w:tc>
      </w:tr>
      <w:tr w14:paraId="71F996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64376B7C">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14"/>
              <w:rPr>
                <w:sz w:val="20"/>
                <w:szCs w:val="20"/>
              </w:rPr>
            </w:pPr>
            <w:r>
              <w:rPr>
                <w:b/>
                <w:bCs/>
                <w:spacing w:val="-4"/>
                <w:sz w:val="20"/>
                <w:szCs w:val="20"/>
              </w:rPr>
              <w:t>二、服务台</w:t>
            </w:r>
          </w:p>
        </w:tc>
        <w:tc>
          <w:tcPr>
            <w:tcW w:w="1598" w:type="dxa"/>
          </w:tcPr>
          <w:p w14:paraId="31DEDF7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16C1150A">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tc>
        <w:tc>
          <w:tcPr>
            <w:tcW w:w="3001" w:type="dxa"/>
          </w:tcPr>
          <w:p w14:paraId="6E1EEA53">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43347B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9483986">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18AC12BF">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优化服务台人员的绩效考核指标</w:t>
            </w:r>
          </w:p>
        </w:tc>
        <w:tc>
          <w:tcPr>
            <w:tcW w:w="1598" w:type="dxa"/>
          </w:tcPr>
          <w:p w14:paraId="794FA74E">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4C3EFC8F">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rFonts w:hint="eastAsia"/>
                <w:spacing w:val="-8"/>
                <w:sz w:val="20"/>
                <w:szCs w:val="20"/>
                <w:lang w:val="en-US" w:eastAsia="zh-CN"/>
              </w:rPr>
              <w:t>2026年</w:t>
            </w:r>
            <w:r>
              <w:rPr>
                <w:spacing w:val="-8"/>
                <w:sz w:val="20"/>
                <w:szCs w:val="20"/>
              </w:rPr>
              <w:t>1月上旬</w:t>
            </w:r>
          </w:p>
        </w:tc>
        <w:tc>
          <w:tcPr>
            <w:tcW w:w="1099" w:type="dxa"/>
          </w:tcPr>
          <w:p w14:paraId="06B84230">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4138E11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服务台人员绩效考核表</w:t>
            </w:r>
          </w:p>
        </w:tc>
      </w:tr>
      <w:tr w14:paraId="7D04F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1F2F97CE">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14:paraId="12B60FA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09"/>
              <w:rPr>
                <w:sz w:val="20"/>
                <w:szCs w:val="20"/>
              </w:rPr>
            </w:pPr>
            <w:r>
              <w:rPr>
                <w:spacing w:val="-1"/>
                <w:sz w:val="20"/>
                <w:szCs w:val="20"/>
              </w:rPr>
              <w:t>跟踪考核季度录入事件的完整性</w:t>
            </w:r>
          </w:p>
        </w:tc>
        <w:tc>
          <w:tcPr>
            <w:tcW w:w="1598" w:type="dxa"/>
          </w:tcPr>
          <w:p w14:paraId="34ADAF89">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14:paraId="111055A7">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525C3DB3">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34FA1D44">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事件过程相关记录</w:t>
            </w:r>
          </w:p>
        </w:tc>
      </w:tr>
      <w:tr w14:paraId="00C3E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2" w:hRule="atLeast"/>
        </w:trPr>
        <w:tc>
          <w:tcPr>
            <w:tcW w:w="3661" w:type="dxa"/>
          </w:tcPr>
          <w:p w14:paraId="7F9D4FC4">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505F7462">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1"/>
                <w:sz w:val="20"/>
                <w:szCs w:val="20"/>
              </w:rPr>
              <w:t>“服务台人员操作流程</w:t>
            </w:r>
            <w:r>
              <w:rPr>
                <w:spacing w:val="-73"/>
                <w:sz w:val="20"/>
                <w:szCs w:val="20"/>
              </w:rPr>
              <w:t xml:space="preserve"> </w:t>
            </w:r>
            <w:r>
              <w:rPr>
                <w:spacing w:val="-1"/>
                <w:sz w:val="20"/>
                <w:szCs w:val="20"/>
              </w:rPr>
              <w:t>”的培训</w:t>
            </w:r>
          </w:p>
        </w:tc>
        <w:tc>
          <w:tcPr>
            <w:tcW w:w="1598" w:type="dxa"/>
          </w:tcPr>
          <w:p w14:paraId="31C99457">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0"/>
              <w:rPr>
                <w:spacing w:val="-4"/>
                <w:sz w:val="20"/>
                <w:szCs w:val="20"/>
              </w:rPr>
            </w:pPr>
            <w:r>
              <w:rPr>
                <w:rFonts w:hint="eastAsia"/>
                <w:spacing w:val="-4"/>
                <w:sz w:val="20"/>
                <w:szCs w:val="20"/>
                <w:lang w:val="en-US" w:eastAsia="zh-CN"/>
              </w:rPr>
              <w:t>2025年</w:t>
            </w:r>
            <w:r>
              <w:rPr>
                <w:spacing w:val="-4"/>
                <w:sz w:val="20"/>
                <w:szCs w:val="20"/>
              </w:rPr>
              <w:t>4月</w:t>
            </w:r>
          </w:p>
          <w:p w14:paraId="1AAAD6BA">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0"/>
              <w:rPr>
                <w:sz w:val="20"/>
                <w:szCs w:val="20"/>
              </w:rPr>
            </w:pPr>
            <w:r>
              <w:rPr>
                <w:rFonts w:hint="eastAsia"/>
                <w:spacing w:val="-4"/>
                <w:sz w:val="20"/>
                <w:szCs w:val="20"/>
                <w:lang w:val="en-US" w:eastAsia="zh-CN"/>
              </w:rPr>
              <w:t>2025年</w:t>
            </w:r>
            <w:r>
              <w:rPr>
                <w:spacing w:val="-4"/>
                <w:sz w:val="20"/>
                <w:szCs w:val="20"/>
              </w:rPr>
              <w:t>9月</w:t>
            </w:r>
          </w:p>
        </w:tc>
        <w:tc>
          <w:tcPr>
            <w:tcW w:w="1099" w:type="dxa"/>
          </w:tcPr>
          <w:p w14:paraId="62BB6138">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人力资源部</w:t>
            </w:r>
          </w:p>
        </w:tc>
        <w:tc>
          <w:tcPr>
            <w:tcW w:w="3001" w:type="dxa"/>
          </w:tcPr>
          <w:p w14:paraId="7E38984D">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72129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3661" w:type="dxa"/>
            <w:tcBorders>
              <w:top w:val="nil"/>
            </w:tcBorders>
          </w:tcPr>
          <w:p w14:paraId="2276B34E">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10"/>
              <w:rPr>
                <w:sz w:val="20"/>
                <w:szCs w:val="20"/>
              </w:rPr>
            </w:pPr>
            <w:r>
              <w:rPr>
                <w:b/>
                <w:bCs/>
                <w:spacing w:val="-4"/>
                <w:sz w:val="20"/>
                <w:szCs w:val="20"/>
              </w:rPr>
              <w:t>三、备品备件库</w:t>
            </w:r>
          </w:p>
        </w:tc>
        <w:tc>
          <w:tcPr>
            <w:tcW w:w="1598" w:type="dxa"/>
            <w:tcBorders>
              <w:top w:val="nil"/>
            </w:tcBorders>
          </w:tcPr>
          <w:p w14:paraId="2C4C23FE">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Borders>
              <w:top w:val="nil"/>
            </w:tcBorders>
          </w:tcPr>
          <w:p w14:paraId="09AF9ED3">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tc>
        <w:tc>
          <w:tcPr>
            <w:tcW w:w="3001" w:type="dxa"/>
            <w:tcBorders>
              <w:top w:val="nil"/>
            </w:tcBorders>
          </w:tcPr>
          <w:p w14:paraId="3D50164A">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347B4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30E92EB3">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435A2ACB">
            <w:pPr>
              <w:pStyle w:val="25"/>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1"/>
                <w:sz w:val="20"/>
                <w:szCs w:val="20"/>
              </w:rPr>
              <w:t>备件库管理表单优化、发布</w:t>
            </w:r>
          </w:p>
        </w:tc>
        <w:tc>
          <w:tcPr>
            <w:tcW w:w="1598" w:type="dxa"/>
          </w:tcPr>
          <w:p w14:paraId="71E4E6DE">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rFonts w:hint="eastAsia"/>
                <w:spacing w:val="-8"/>
                <w:sz w:val="20"/>
                <w:szCs w:val="20"/>
                <w:lang w:val="en-US" w:eastAsia="zh-CN"/>
              </w:rPr>
              <w:t>2026年</w:t>
            </w:r>
            <w:r>
              <w:rPr>
                <w:spacing w:val="-8"/>
                <w:sz w:val="20"/>
                <w:szCs w:val="20"/>
              </w:rPr>
              <w:t>1月上旬</w:t>
            </w:r>
          </w:p>
        </w:tc>
        <w:tc>
          <w:tcPr>
            <w:tcW w:w="1099" w:type="dxa"/>
          </w:tcPr>
          <w:p w14:paraId="6D1A10C2">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499A440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《备品备件管理记录》</w:t>
            </w:r>
          </w:p>
        </w:tc>
      </w:tr>
      <w:tr w14:paraId="577D3F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3501C2B7">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3A2F47F0">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1"/>
                <w:sz w:val="20"/>
                <w:szCs w:val="20"/>
              </w:rPr>
              <w:t>备件库盘点、溢余与短缺情况分析</w:t>
            </w:r>
          </w:p>
        </w:tc>
        <w:tc>
          <w:tcPr>
            <w:tcW w:w="1598" w:type="dxa"/>
          </w:tcPr>
          <w:p w14:paraId="06C44F0E">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00616E2E">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54A5505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《备件盘点表》</w:t>
            </w:r>
          </w:p>
        </w:tc>
      </w:tr>
      <w:tr w14:paraId="11928B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76B4A434">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14:paraId="7D6F53A0">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2"/>
                <w:sz w:val="20"/>
                <w:szCs w:val="20"/>
              </w:rPr>
              <w:t>备件抽检</w:t>
            </w:r>
          </w:p>
        </w:tc>
        <w:tc>
          <w:tcPr>
            <w:tcW w:w="1598" w:type="dxa"/>
          </w:tcPr>
          <w:p w14:paraId="5D8432A5">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0BAE95E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00A67F8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《抽检报告》</w:t>
            </w:r>
          </w:p>
        </w:tc>
      </w:tr>
      <w:tr w14:paraId="127665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1841A7C3">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14:paraId="4A54A17D">
            <w:pPr>
              <w:pStyle w:val="25"/>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2"/>
                <w:sz w:val="20"/>
                <w:szCs w:val="20"/>
              </w:rPr>
              <w:t>备件采购、报废处理</w:t>
            </w:r>
          </w:p>
        </w:tc>
        <w:tc>
          <w:tcPr>
            <w:tcW w:w="1598" w:type="dxa"/>
          </w:tcPr>
          <w:p w14:paraId="413CF0A3">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7CC7AD62">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D6FA49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《采购记录》《报废记录》</w:t>
            </w:r>
          </w:p>
        </w:tc>
      </w:tr>
      <w:tr w14:paraId="6CD5B6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11A0B883">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1E320F53">
            <w:pPr>
              <w:pStyle w:val="25"/>
              <w:keepNext w:val="0"/>
              <w:keepLines w:val="0"/>
              <w:pageBreakBefore w:val="0"/>
              <w:widowControl w:val="0"/>
              <w:kinsoku w:val="0"/>
              <w:wordWrap/>
              <w:overflowPunct/>
              <w:topLinePunct w:val="0"/>
              <w:autoSpaceDE w:val="0"/>
              <w:autoSpaceDN w:val="0"/>
              <w:bidi w:val="0"/>
              <w:adjustRightInd w:val="0"/>
              <w:snapToGrid w:val="0"/>
              <w:spacing w:before="65" w:line="218" w:lineRule="auto"/>
              <w:ind w:left="110"/>
              <w:rPr>
                <w:sz w:val="20"/>
                <w:szCs w:val="20"/>
              </w:rPr>
            </w:pPr>
            <w:r>
              <w:rPr>
                <w:spacing w:val="-2"/>
                <w:sz w:val="20"/>
                <w:szCs w:val="20"/>
              </w:rPr>
              <w:t>供应商评估</w:t>
            </w:r>
          </w:p>
        </w:tc>
        <w:tc>
          <w:tcPr>
            <w:tcW w:w="1598" w:type="dxa"/>
          </w:tcPr>
          <w:p w14:paraId="230A7EFF">
            <w:pPr>
              <w:pStyle w:val="25"/>
              <w:keepNext w:val="0"/>
              <w:keepLines w:val="0"/>
              <w:pageBreakBefore w:val="0"/>
              <w:widowControl w:val="0"/>
              <w:kinsoku w:val="0"/>
              <w:wordWrap/>
              <w:overflowPunct/>
              <w:topLinePunct w:val="0"/>
              <w:autoSpaceDE w:val="0"/>
              <w:autoSpaceDN w:val="0"/>
              <w:bidi w:val="0"/>
              <w:adjustRightInd w:val="0"/>
              <w:snapToGrid w:val="0"/>
              <w:spacing w:before="65" w:line="218" w:lineRule="auto"/>
              <w:ind w:left="110"/>
              <w:jc w:val="center"/>
              <w:rPr>
                <w:rFonts w:hint="default"/>
                <w:sz w:val="20"/>
                <w:szCs w:val="20"/>
                <w:lang w:val="en-US"/>
              </w:rPr>
            </w:pPr>
            <w:r>
              <w:rPr>
                <w:rFonts w:hint="eastAsia"/>
                <w:spacing w:val="-2"/>
                <w:sz w:val="20"/>
                <w:szCs w:val="20"/>
                <w:lang w:val="en-US" w:eastAsia="zh-CN"/>
              </w:rPr>
              <w:t>2025年7月</w:t>
            </w:r>
          </w:p>
        </w:tc>
        <w:tc>
          <w:tcPr>
            <w:tcW w:w="1099" w:type="dxa"/>
          </w:tcPr>
          <w:p w14:paraId="7E1A2F55">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559EA32">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3897B84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《合格供应商清单》</w:t>
            </w:r>
          </w:p>
        </w:tc>
      </w:tr>
      <w:tr w14:paraId="5A49DB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4C204139">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rPr>
                <w:rFonts w:hint="eastAsia" w:eastAsia="宋体"/>
                <w:sz w:val="20"/>
                <w:szCs w:val="20"/>
                <w:lang w:val="en-US" w:eastAsia="zh-CN"/>
              </w:rPr>
            </w:pPr>
            <w:r>
              <w:rPr>
                <w:b/>
                <w:bCs/>
                <w:spacing w:val="-7"/>
                <w:sz w:val="20"/>
                <w:szCs w:val="20"/>
              </w:rPr>
              <w:t>四、</w:t>
            </w:r>
            <w:r>
              <w:rPr>
                <w:rFonts w:hint="eastAsia"/>
                <w:b/>
                <w:bCs/>
                <w:spacing w:val="-7"/>
                <w:sz w:val="20"/>
                <w:szCs w:val="20"/>
                <w:lang w:val="en-US" w:eastAsia="zh-CN"/>
              </w:rPr>
              <w:t>服务知识</w:t>
            </w:r>
          </w:p>
        </w:tc>
        <w:tc>
          <w:tcPr>
            <w:tcW w:w="1598" w:type="dxa"/>
          </w:tcPr>
          <w:p w14:paraId="129EEFBC">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78026EC2">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14:paraId="1971336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1067E1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7567912E">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118" w:right="148" w:hanging="8"/>
              <w:rPr>
                <w:sz w:val="20"/>
                <w:szCs w:val="20"/>
              </w:rPr>
            </w:pPr>
            <w:r>
              <w:rPr>
                <w:spacing w:val="-1"/>
                <w:sz w:val="20"/>
                <w:szCs w:val="20"/>
              </w:rPr>
              <w:t>对已有</w:t>
            </w:r>
            <w:r>
              <w:rPr>
                <w:rFonts w:hint="eastAsia"/>
                <w:spacing w:val="-1"/>
                <w:sz w:val="20"/>
                <w:szCs w:val="20"/>
                <w:lang w:val="en-US" w:eastAsia="zh-CN"/>
              </w:rPr>
              <w:t>服务知识</w:t>
            </w:r>
            <w:r>
              <w:rPr>
                <w:spacing w:val="-1"/>
                <w:sz w:val="20"/>
                <w:szCs w:val="20"/>
              </w:rPr>
              <w:t>进行评审，确定相关人</w:t>
            </w:r>
            <w:r>
              <w:rPr>
                <w:spacing w:val="-2"/>
                <w:sz w:val="20"/>
                <w:szCs w:val="20"/>
              </w:rPr>
              <w:t>员职责及其权限分配与提供</w:t>
            </w:r>
          </w:p>
        </w:tc>
        <w:tc>
          <w:tcPr>
            <w:tcW w:w="1598" w:type="dxa"/>
          </w:tcPr>
          <w:p w14:paraId="4DDC8E46">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rPr>
                <w:sz w:val="20"/>
                <w:szCs w:val="20"/>
              </w:rPr>
            </w:pPr>
            <w:r>
              <w:rPr>
                <w:rFonts w:hint="eastAsia"/>
                <w:spacing w:val="-8"/>
                <w:sz w:val="20"/>
                <w:szCs w:val="20"/>
                <w:lang w:val="en-US" w:eastAsia="zh-CN"/>
              </w:rPr>
              <w:t>2026年</w:t>
            </w:r>
            <w:r>
              <w:rPr>
                <w:spacing w:val="-8"/>
                <w:sz w:val="20"/>
                <w:szCs w:val="20"/>
              </w:rPr>
              <w:t>1月上旬</w:t>
            </w:r>
          </w:p>
        </w:tc>
        <w:tc>
          <w:tcPr>
            <w:tcW w:w="1099" w:type="dxa"/>
          </w:tcPr>
          <w:p w14:paraId="1C2D985E">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vMerge w:val="restart"/>
            <w:tcBorders>
              <w:bottom w:val="nil"/>
            </w:tcBorders>
          </w:tcPr>
          <w:p w14:paraId="260ECB05">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w:t>
            </w:r>
            <w:r>
              <w:rPr>
                <w:rFonts w:hint="eastAsia" w:cs="Arial"/>
                <w:snapToGrid w:val="0"/>
                <w:color w:val="000000"/>
                <w:kern w:val="0"/>
                <w:sz w:val="21"/>
                <w:szCs w:val="21"/>
                <w:lang w:val="en-US" w:eastAsia="zh-CN" w:bidi="ar-SA"/>
              </w:rPr>
              <w:t>服务知识</w:t>
            </w:r>
            <w:r>
              <w:rPr>
                <w:rFonts w:hint="eastAsia" w:eastAsia="宋体" w:cs="Arial"/>
                <w:snapToGrid w:val="0"/>
                <w:color w:val="000000"/>
                <w:kern w:val="0"/>
                <w:sz w:val="21"/>
                <w:szCs w:val="21"/>
                <w:lang w:val="en-US" w:eastAsia="zh-CN" w:bidi="ar-SA"/>
              </w:rPr>
              <w:t>评审表》</w:t>
            </w:r>
          </w:p>
        </w:tc>
      </w:tr>
      <w:tr w14:paraId="5D3641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33C4EEDA">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rPr>
                <w:rFonts w:hint="default" w:eastAsia="宋体"/>
                <w:sz w:val="20"/>
                <w:szCs w:val="20"/>
                <w:lang w:val="en-US" w:eastAsia="zh-CN"/>
              </w:rPr>
            </w:pPr>
            <w:r>
              <w:rPr>
                <w:rFonts w:hint="eastAsia"/>
                <w:sz w:val="20"/>
                <w:szCs w:val="20"/>
                <w:lang w:val="en-US" w:eastAsia="zh-CN"/>
              </w:rPr>
              <w:t>服务知识录入条数统计</w:t>
            </w:r>
          </w:p>
        </w:tc>
        <w:tc>
          <w:tcPr>
            <w:tcW w:w="1598" w:type="dxa"/>
          </w:tcPr>
          <w:p w14:paraId="05891027">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039A332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54"/>
              <w:rPr>
                <w:rFonts w:hint="default"/>
                <w:sz w:val="20"/>
                <w:szCs w:val="20"/>
                <w:lang w:val="en-US"/>
              </w:rPr>
            </w:pPr>
            <w:r>
              <w:rPr>
                <w:rFonts w:hint="eastAsia"/>
                <w:spacing w:val="-3"/>
                <w:sz w:val="20"/>
                <w:szCs w:val="20"/>
                <w:lang w:val="en-US" w:eastAsia="zh-CN"/>
              </w:rPr>
              <w:t>次/季</w:t>
            </w:r>
          </w:p>
        </w:tc>
        <w:tc>
          <w:tcPr>
            <w:tcW w:w="1099" w:type="dxa"/>
          </w:tcPr>
          <w:p w14:paraId="36A8657A">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vMerge w:val="continue"/>
            <w:tcBorders>
              <w:top w:val="nil"/>
            </w:tcBorders>
          </w:tcPr>
          <w:p w14:paraId="73F9C3F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4D87D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6" w:hRule="atLeast"/>
        </w:trPr>
        <w:tc>
          <w:tcPr>
            <w:tcW w:w="3661" w:type="dxa"/>
          </w:tcPr>
          <w:p w14:paraId="29A2AFE4">
            <w:pPr>
              <w:pStyle w:val="25"/>
              <w:keepNext w:val="0"/>
              <w:keepLines w:val="0"/>
              <w:pageBreakBefore w:val="0"/>
              <w:widowControl w:val="0"/>
              <w:kinsoku w:val="0"/>
              <w:wordWrap/>
              <w:overflowPunct/>
              <w:topLinePunct w:val="0"/>
              <w:autoSpaceDE w:val="0"/>
              <w:autoSpaceDN w:val="0"/>
              <w:bidi w:val="0"/>
              <w:adjustRightInd w:val="0"/>
              <w:snapToGrid w:val="0"/>
              <w:spacing w:before="149" w:line="402" w:lineRule="auto"/>
              <w:ind w:left="114"/>
              <w:jc w:val="both"/>
              <w:rPr>
                <w:sz w:val="20"/>
                <w:szCs w:val="20"/>
              </w:rPr>
            </w:pPr>
            <w:r>
              <w:rPr>
                <w:spacing w:val="-4"/>
                <w:sz w:val="20"/>
                <w:szCs w:val="20"/>
              </w:rPr>
              <w:t>原有知识整理、按分类进行梳理、审核、</w:t>
            </w:r>
            <w:r>
              <w:rPr>
                <w:spacing w:val="-2"/>
                <w:sz w:val="20"/>
                <w:szCs w:val="20"/>
              </w:rPr>
              <w:t>知识积累，并在应用过程中总结与持续</w:t>
            </w:r>
            <w:r>
              <w:rPr>
                <w:spacing w:val="-4"/>
                <w:sz w:val="20"/>
                <w:szCs w:val="20"/>
              </w:rPr>
              <w:t>改进</w:t>
            </w:r>
          </w:p>
        </w:tc>
        <w:tc>
          <w:tcPr>
            <w:tcW w:w="1598" w:type="dxa"/>
          </w:tcPr>
          <w:p w14:paraId="201E467B">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14:paraId="39334B27">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14:paraId="7AD2E78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2939F410">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p w14:paraId="3E4741EA">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0025B2D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1EFC18E2">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05321E8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知识库应用过程相关文档</w:t>
            </w:r>
          </w:p>
        </w:tc>
      </w:tr>
      <w:tr w14:paraId="541A7A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2" w:hRule="atLeast"/>
        </w:trPr>
        <w:tc>
          <w:tcPr>
            <w:tcW w:w="3661" w:type="dxa"/>
          </w:tcPr>
          <w:p w14:paraId="151BD835">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4936C432">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2"/>
                <w:sz w:val="20"/>
                <w:szCs w:val="20"/>
              </w:rPr>
              <w:t>“运维服务</w:t>
            </w:r>
            <w:r>
              <w:rPr>
                <w:rFonts w:hint="eastAsia"/>
                <w:spacing w:val="-2"/>
                <w:sz w:val="20"/>
                <w:szCs w:val="20"/>
                <w:lang w:val="en-US" w:eastAsia="zh-CN"/>
              </w:rPr>
              <w:t>服务知识</w:t>
            </w:r>
            <w:r>
              <w:rPr>
                <w:spacing w:val="-63"/>
                <w:sz w:val="20"/>
                <w:szCs w:val="20"/>
              </w:rPr>
              <w:t xml:space="preserve"> </w:t>
            </w:r>
            <w:r>
              <w:rPr>
                <w:spacing w:val="-2"/>
                <w:sz w:val="20"/>
                <w:szCs w:val="20"/>
              </w:rPr>
              <w:t>”的培训</w:t>
            </w:r>
          </w:p>
        </w:tc>
        <w:tc>
          <w:tcPr>
            <w:tcW w:w="1598" w:type="dxa"/>
          </w:tcPr>
          <w:p w14:paraId="0F7BBA7A">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jc w:val="center"/>
              <w:rPr>
                <w:spacing w:val="-5"/>
                <w:sz w:val="20"/>
                <w:szCs w:val="20"/>
              </w:rPr>
            </w:pPr>
            <w:r>
              <w:rPr>
                <w:rFonts w:hint="eastAsia"/>
                <w:spacing w:val="-5"/>
                <w:sz w:val="20"/>
                <w:szCs w:val="20"/>
                <w:lang w:val="en-US" w:eastAsia="zh-CN"/>
              </w:rPr>
              <w:t>2025年</w:t>
            </w:r>
            <w:r>
              <w:rPr>
                <w:spacing w:val="-5"/>
                <w:sz w:val="20"/>
                <w:szCs w:val="20"/>
              </w:rPr>
              <w:t>9月</w:t>
            </w:r>
          </w:p>
          <w:p w14:paraId="0A015B3A">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jc w:val="center"/>
              <w:rPr>
                <w:sz w:val="20"/>
                <w:szCs w:val="20"/>
              </w:rPr>
            </w:pPr>
            <w:r>
              <w:rPr>
                <w:rFonts w:hint="eastAsia"/>
                <w:spacing w:val="-5"/>
                <w:sz w:val="20"/>
                <w:szCs w:val="20"/>
                <w:lang w:val="en-US" w:eastAsia="zh-CN"/>
              </w:rPr>
              <w:t>2026年</w:t>
            </w:r>
            <w:r>
              <w:rPr>
                <w:spacing w:val="-5"/>
                <w:sz w:val="20"/>
                <w:szCs w:val="20"/>
              </w:rPr>
              <w:t>3月</w:t>
            </w:r>
          </w:p>
        </w:tc>
        <w:tc>
          <w:tcPr>
            <w:tcW w:w="1099" w:type="dxa"/>
          </w:tcPr>
          <w:p w14:paraId="3E385927">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人力资源部</w:t>
            </w:r>
          </w:p>
        </w:tc>
        <w:tc>
          <w:tcPr>
            <w:tcW w:w="3001" w:type="dxa"/>
          </w:tcPr>
          <w:p w14:paraId="612C3F7A">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1640FC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4CF0CA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6EFDDAF0">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snapToGrid w:val="0"/>
                <w:color w:val="000000"/>
                <w:kern w:val="0"/>
                <w:sz w:val="20"/>
                <w:szCs w:val="20"/>
                <w:lang w:val="en-US" w:eastAsia="zh-CN" w:bidi="ar-SA"/>
              </w:rPr>
            </w:pPr>
            <w:r>
              <w:rPr>
                <w:rFonts w:hint="eastAsia"/>
                <w:b/>
                <w:bCs/>
                <w:spacing w:val="-7"/>
                <w:sz w:val="20"/>
                <w:szCs w:val="20"/>
                <w:lang w:val="en-US" w:eastAsia="zh-CN"/>
              </w:rPr>
              <w:t>五</w:t>
            </w:r>
            <w:r>
              <w:rPr>
                <w:b/>
                <w:bCs/>
                <w:spacing w:val="-7"/>
                <w:sz w:val="20"/>
                <w:szCs w:val="20"/>
              </w:rPr>
              <w:t>、</w:t>
            </w:r>
            <w:r>
              <w:rPr>
                <w:rFonts w:hint="eastAsia"/>
                <w:b/>
                <w:bCs/>
                <w:spacing w:val="-7"/>
                <w:sz w:val="20"/>
                <w:szCs w:val="20"/>
                <w:lang w:val="en-US" w:eastAsia="zh-CN"/>
              </w:rPr>
              <w:t>最终软件库</w:t>
            </w:r>
          </w:p>
        </w:tc>
        <w:tc>
          <w:tcPr>
            <w:tcW w:w="1598" w:type="dxa"/>
            <w:shd w:val="clear" w:color="auto" w:fill="auto"/>
          </w:tcPr>
          <w:p w14:paraId="46645DF9">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1099" w:type="dxa"/>
            <w:shd w:val="clear" w:color="auto" w:fill="auto"/>
          </w:tcPr>
          <w:p w14:paraId="101BF6D0">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3001" w:type="dxa"/>
            <w:shd w:val="clear" w:color="auto" w:fill="auto"/>
          </w:tcPr>
          <w:p w14:paraId="675C1365">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p>
        </w:tc>
      </w:tr>
      <w:tr w14:paraId="08C184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1255DBA5">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b/>
                <w:bCs/>
                <w:spacing w:val="-7"/>
                <w:sz w:val="20"/>
                <w:szCs w:val="20"/>
                <w:lang w:val="en-US" w:eastAsia="zh-CN"/>
              </w:rPr>
            </w:pPr>
            <w:r>
              <w:rPr>
                <w:spacing w:val="-2"/>
                <w:sz w:val="20"/>
                <w:szCs w:val="20"/>
              </w:rPr>
              <w:t>“</w:t>
            </w:r>
            <w:r>
              <w:rPr>
                <w:rFonts w:hint="eastAsia"/>
                <w:spacing w:val="-2"/>
                <w:sz w:val="20"/>
                <w:szCs w:val="20"/>
                <w:lang w:val="en-US" w:eastAsia="zh-CN"/>
              </w:rPr>
              <w:t>版本管理工具</w:t>
            </w:r>
            <w:r>
              <w:rPr>
                <w:spacing w:val="-2"/>
                <w:sz w:val="20"/>
                <w:szCs w:val="20"/>
              </w:rPr>
              <w:t>”的培训</w:t>
            </w:r>
          </w:p>
        </w:tc>
        <w:tc>
          <w:tcPr>
            <w:tcW w:w="1598" w:type="dxa"/>
            <w:shd w:val="clear" w:color="auto" w:fill="auto"/>
          </w:tcPr>
          <w:p w14:paraId="2018E013">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hint="default" w:ascii="Arial" w:hAnsi="Arial" w:eastAsia="宋体" w:cs="Arial"/>
                <w:snapToGrid w:val="0"/>
                <w:color w:val="000000"/>
                <w:kern w:val="0"/>
                <w:sz w:val="21"/>
                <w:szCs w:val="21"/>
                <w:lang w:val="en-US" w:eastAsia="zh-CN" w:bidi="ar-SA"/>
              </w:rPr>
            </w:pPr>
            <w:r>
              <w:rPr>
                <w:spacing w:val="-2"/>
                <w:sz w:val="20"/>
                <w:szCs w:val="20"/>
              </w:rPr>
              <w:t>1月上旬</w:t>
            </w:r>
          </w:p>
        </w:tc>
        <w:tc>
          <w:tcPr>
            <w:tcW w:w="1099" w:type="dxa"/>
            <w:shd w:val="clear" w:color="auto" w:fill="auto"/>
          </w:tcPr>
          <w:p w14:paraId="17B09DD8">
            <w:pPr>
              <w:keepNext w:val="0"/>
              <w:keepLines w:val="0"/>
              <w:pageBreakBefore w:val="0"/>
              <w:widowControl w:val="0"/>
              <w:kinsoku w:val="0"/>
              <w:wordWrap/>
              <w:overflowPunct/>
              <w:topLinePunct w:val="0"/>
              <w:autoSpaceDE w:val="0"/>
              <w:autoSpaceDN w:val="0"/>
              <w:bidi w:val="0"/>
              <w:adjustRightInd w:val="0"/>
              <w:snapToGrid w:val="0"/>
              <w:rPr>
                <w:rFonts w:hint="default" w:ascii="Arial" w:hAnsi="Arial"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71377F9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培训记录</w:t>
            </w:r>
          </w:p>
        </w:tc>
      </w:tr>
      <w:tr w14:paraId="46205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6B8F8734">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eastAsia="宋体"/>
                <w:spacing w:val="-2"/>
                <w:sz w:val="20"/>
                <w:szCs w:val="20"/>
                <w:lang w:val="en-US" w:eastAsia="zh-CN"/>
              </w:rPr>
            </w:pPr>
            <w:r>
              <w:rPr>
                <w:rFonts w:hint="eastAsia"/>
                <w:spacing w:val="-2"/>
                <w:sz w:val="20"/>
                <w:szCs w:val="20"/>
                <w:lang w:val="en-US" w:eastAsia="zh-CN"/>
              </w:rPr>
              <w:t>软件版本正确率审核</w:t>
            </w:r>
          </w:p>
        </w:tc>
        <w:tc>
          <w:tcPr>
            <w:tcW w:w="1598" w:type="dxa"/>
            <w:shd w:val="clear" w:color="auto" w:fill="auto"/>
          </w:tcPr>
          <w:p w14:paraId="68E0DE6E">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hint="default" w:eastAsia="宋体"/>
                <w:spacing w:val="-2"/>
                <w:sz w:val="20"/>
                <w:szCs w:val="20"/>
                <w:lang w:val="en-US" w:eastAsia="zh-CN"/>
              </w:rPr>
            </w:pPr>
            <w:r>
              <w:rPr>
                <w:rFonts w:hint="eastAsia"/>
                <w:spacing w:val="-2"/>
                <w:sz w:val="20"/>
                <w:szCs w:val="20"/>
                <w:lang w:val="en-US" w:eastAsia="zh-CN"/>
              </w:rPr>
              <w:t>次/季</w:t>
            </w:r>
          </w:p>
        </w:tc>
        <w:tc>
          <w:tcPr>
            <w:tcW w:w="1099" w:type="dxa"/>
            <w:shd w:val="clear" w:color="auto" w:fill="auto"/>
          </w:tcPr>
          <w:p w14:paraId="66B26B28">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475F4482">
            <w:pPr>
              <w:keepNext w:val="0"/>
              <w:keepLines w:val="0"/>
              <w:pageBreakBefore w:val="0"/>
              <w:widowControl w:val="0"/>
              <w:kinsoku w:val="0"/>
              <w:wordWrap/>
              <w:overflowPunct/>
              <w:topLinePunct w:val="0"/>
              <w:autoSpaceDE w:val="0"/>
              <w:autoSpaceDN w:val="0"/>
              <w:bidi w:val="0"/>
              <w:adjustRightInd w:val="0"/>
              <w:snapToGrid w:val="0"/>
              <w:jc w:val="center"/>
              <w:rPr>
                <w:rFonts w:hint="default"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《最终软件库应用情况说明》</w:t>
            </w:r>
          </w:p>
        </w:tc>
      </w:tr>
      <w:tr w14:paraId="5DDAEA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033A9596">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eastAsia="宋体"/>
                <w:b/>
                <w:bCs/>
                <w:spacing w:val="-7"/>
                <w:sz w:val="20"/>
                <w:szCs w:val="20"/>
                <w:lang w:val="en-US" w:eastAsia="zh-CN"/>
              </w:rPr>
            </w:pPr>
            <w:r>
              <w:rPr>
                <w:rFonts w:hint="eastAsia"/>
                <w:b/>
                <w:bCs/>
                <w:spacing w:val="-7"/>
                <w:sz w:val="20"/>
                <w:szCs w:val="20"/>
                <w:lang w:val="en-US" w:eastAsia="zh-CN"/>
              </w:rPr>
              <w:t>六、服务数据</w:t>
            </w:r>
          </w:p>
        </w:tc>
        <w:tc>
          <w:tcPr>
            <w:tcW w:w="1598" w:type="dxa"/>
            <w:shd w:val="clear" w:color="auto" w:fill="auto"/>
          </w:tcPr>
          <w:p w14:paraId="2F5E3B0C">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1099" w:type="dxa"/>
            <w:shd w:val="clear" w:color="auto" w:fill="auto"/>
          </w:tcPr>
          <w:p w14:paraId="1D522E40">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3001" w:type="dxa"/>
            <w:shd w:val="clear" w:color="auto" w:fill="auto"/>
          </w:tcPr>
          <w:p w14:paraId="73E76DA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p>
        </w:tc>
      </w:tr>
      <w:tr w14:paraId="7C6415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1B1CC9F6">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b/>
                <w:bCs/>
                <w:snapToGrid w:val="0"/>
                <w:color w:val="000000"/>
                <w:spacing w:val="-7"/>
                <w:kern w:val="0"/>
                <w:sz w:val="20"/>
                <w:szCs w:val="20"/>
                <w:lang w:val="en-US" w:eastAsia="zh-CN" w:bidi="ar-SA"/>
              </w:rPr>
            </w:pPr>
            <w:r>
              <w:rPr>
                <w:rFonts w:hint="eastAsia"/>
                <w:spacing w:val="-2"/>
                <w:sz w:val="20"/>
                <w:szCs w:val="20"/>
                <w:lang w:val="en-US" w:eastAsia="zh-CN"/>
              </w:rPr>
              <w:t>服务数据管理制度培训</w:t>
            </w:r>
          </w:p>
        </w:tc>
        <w:tc>
          <w:tcPr>
            <w:tcW w:w="1598" w:type="dxa"/>
            <w:shd w:val="clear" w:color="auto" w:fill="auto"/>
          </w:tcPr>
          <w:p w14:paraId="193C88CD">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leftChars="0" w:right="143" w:rightChars="0" w:hanging="302" w:firstLineChars="0"/>
              <w:rPr>
                <w:rFonts w:hint="default" w:ascii="Arial" w:hAnsi="Arial" w:eastAsia="宋体" w:cs="Arial"/>
                <w:snapToGrid w:val="0"/>
                <w:color w:val="000000"/>
                <w:kern w:val="0"/>
                <w:sz w:val="21"/>
                <w:szCs w:val="21"/>
                <w:lang w:val="en-US" w:eastAsia="en-US" w:bidi="ar-SA"/>
              </w:rPr>
            </w:pPr>
            <w:r>
              <w:rPr>
                <w:rFonts w:hint="eastAsia"/>
                <w:spacing w:val="-2"/>
                <w:sz w:val="20"/>
                <w:szCs w:val="20"/>
                <w:lang w:val="en-US" w:eastAsia="zh-CN"/>
              </w:rPr>
              <w:t>2026年</w:t>
            </w:r>
            <w:r>
              <w:rPr>
                <w:spacing w:val="-2"/>
                <w:sz w:val="20"/>
                <w:szCs w:val="20"/>
              </w:rPr>
              <w:t>1月</w:t>
            </w:r>
          </w:p>
        </w:tc>
        <w:tc>
          <w:tcPr>
            <w:tcW w:w="1099" w:type="dxa"/>
            <w:shd w:val="clear" w:color="auto" w:fill="auto"/>
          </w:tcPr>
          <w:p w14:paraId="5CED3FBC">
            <w:pPr>
              <w:keepNext w:val="0"/>
              <w:keepLines w:val="0"/>
              <w:pageBreakBefore w:val="0"/>
              <w:widowControl w:val="0"/>
              <w:kinsoku w:val="0"/>
              <w:wordWrap/>
              <w:overflowPunct/>
              <w:topLinePunct w:val="0"/>
              <w:autoSpaceDE w:val="0"/>
              <w:autoSpaceDN w:val="0"/>
              <w:bidi w:val="0"/>
              <w:adjustRightInd w:val="0"/>
              <w:snapToGrid w:val="0"/>
              <w:rPr>
                <w:rFonts w:hint="default" w:ascii="Arial" w:hAnsi="Arial"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485D1B00">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培训记录</w:t>
            </w:r>
          </w:p>
        </w:tc>
      </w:tr>
      <w:tr w14:paraId="6E6D07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616CB42C">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snapToGrid w:val="0"/>
                <w:color w:val="000000"/>
                <w:spacing w:val="-2"/>
                <w:kern w:val="0"/>
                <w:sz w:val="20"/>
                <w:szCs w:val="20"/>
                <w:lang w:val="en-US" w:eastAsia="zh-CN" w:bidi="ar-SA"/>
              </w:rPr>
            </w:pPr>
            <w:r>
              <w:rPr>
                <w:rFonts w:hint="eastAsia"/>
                <w:spacing w:val="-2"/>
                <w:sz w:val="20"/>
                <w:szCs w:val="20"/>
                <w:lang w:val="en-US" w:eastAsia="zh-CN"/>
              </w:rPr>
              <w:t>服务数据分析利用次数</w:t>
            </w:r>
          </w:p>
        </w:tc>
        <w:tc>
          <w:tcPr>
            <w:tcW w:w="1598" w:type="dxa"/>
            <w:shd w:val="clear" w:color="auto" w:fill="auto"/>
          </w:tcPr>
          <w:p w14:paraId="3596C00B">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leftChars="0" w:right="143" w:rightChars="0" w:hanging="302" w:firstLineChars="0"/>
              <w:rPr>
                <w:rFonts w:hint="default" w:ascii="宋体" w:hAnsi="宋体" w:eastAsia="宋体" w:cs="宋体"/>
                <w:snapToGrid w:val="0"/>
                <w:color w:val="000000"/>
                <w:spacing w:val="-2"/>
                <w:kern w:val="0"/>
                <w:sz w:val="20"/>
                <w:szCs w:val="20"/>
                <w:lang w:val="en-US" w:eastAsia="en-US" w:bidi="ar-SA"/>
              </w:rPr>
            </w:pPr>
            <w:r>
              <w:rPr>
                <w:rFonts w:hint="eastAsia"/>
                <w:spacing w:val="-3"/>
                <w:sz w:val="20"/>
                <w:szCs w:val="20"/>
                <w:lang w:val="en-US" w:eastAsia="zh-CN"/>
              </w:rPr>
              <w:t>次/季</w:t>
            </w:r>
          </w:p>
        </w:tc>
        <w:tc>
          <w:tcPr>
            <w:tcW w:w="1099" w:type="dxa"/>
            <w:shd w:val="clear" w:color="auto" w:fill="auto"/>
          </w:tcPr>
          <w:p w14:paraId="6AF6DA47">
            <w:pPr>
              <w:keepNext w:val="0"/>
              <w:keepLines w:val="0"/>
              <w:pageBreakBefore w:val="0"/>
              <w:widowControl w:val="0"/>
              <w:kinsoku w:val="0"/>
              <w:wordWrap/>
              <w:overflowPunct/>
              <w:topLinePunct w:val="0"/>
              <w:autoSpaceDE w:val="0"/>
              <w:autoSpaceDN w:val="0"/>
              <w:bidi w:val="0"/>
              <w:adjustRightInd w:val="0"/>
              <w:snapToGrid w:val="0"/>
              <w:rPr>
                <w:rFonts w:hint="eastAsia" w:ascii="Arial" w:hAnsi="Arial"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3426BD63">
            <w:pPr>
              <w:keepNext w:val="0"/>
              <w:keepLines w:val="0"/>
              <w:pageBreakBefore w:val="0"/>
              <w:widowControl w:val="0"/>
              <w:kinsoku w:val="0"/>
              <w:wordWrap/>
              <w:overflowPunct/>
              <w:topLinePunct w:val="0"/>
              <w:autoSpaceDE w:val="0"/>
              <w:autoSpaceDN w:val="0"/>
              <w:bidi w:val="0"/>
              <w:adjustRightInd w:val="0"/>
              <w:snapToGrid w:val="0"/>
              <w:jc w:val="center"/>
              <w:rPr>
                <w:rFonts w:hint="default"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《服务数据分析报告》</w:t>
            </w:r>
          </w:p>
        </w:tc>
      </w:tr>
    </w:tbl>
    <w:p w14:paraId="52C1339A">
      <w:pPr>
        <w:pStyle w:val="27"/>
        <w:keepNext w:val="0"/>
        <w:keepLines w:val="0"/>
        <w:pageBreakBefore w:val="0"/>
        <w:widowControl w:val="0"/>
        <w:kinsoku w:val="0"/>
        <w:wordWrap/>
        <w:overflowPunct/>
        <w:topLinePunct w:val="0"/>
        <w:autoSpaceDE w:val="0"/>
        <w:autoSpaceDN w:val="0"/>
        <w:bidi w:val="0"/>
        <w:adjustRightInd w:val="0"/>
        <w:snapToGrid w:val="0"/>
      </w:pPr>
      <w:bookmarkStart w:id="58" w:name="_Toc16670"/>
      <w:r>
        <w:t>技术方面</w:t>
      </w:r>
      <w:bookmarkEnd w:id="56"/>
      <w:bookmarkEnd w:id="57"/>
      <w:bookmarkEnd w:id="58"/>
    </w:p>
    <w:p w14:paraId="620A4B53">
      <w:pPr>
        <w:pStyle w:val="29"/>
        <w:keepNext w:val="0"/>
        <w:keepLines w:val="0"/>
        <w:pageBreakBefore w:val="0"/>
        <w:widowControl w:val="0"/>
        <w:kinsoku w:val="0"/>
        <w:wordWrap/>
        <w:overflowPunct/>
        <w:topLinePunct w:val="0"/>
        <w:autoSpaceDE w:val="0"/>
        <w:autoSpaceDN w:val="0"/>
        <w:bidi w:val="0"/>
        <w:adjustRightInd w:val="0"/>
        <w:snapToGrid w:val="0"/>
      </w:pPr>
      <w:bookmarkStart w:id="59" w:name="bookmark68"/>
      <w:bookmarkEnd w:id="59"/>
      <w:bookmarkStart w:id="60" w:name="_Toc13246"/>
      <w:bookmarkStart w:id="61" w:name="_Toc24673"/>
      <w:bookmarkStart w:id="62" w:name="_Toc26847"/>
      <w:r>
        <w:t>现状分析</w:t>
      </w:r>
      <w:bookmarkEnd w:id="60"/>
      <w:bookmarkEnd w:id="61"/>
      <w:bookmarkEnd w:id="62"/>
    </w:p>
    <w:p w14:paraId="22C2993D">
      <w:pPr>
        <w:pStyle w:val="28"/>
        <w:bidi w:val="0"/>
      </w:pPr>
      <w:r>
        <w:t>当前系统仅依赖电脑端，存在明显的移动性缺失缺陷：运维人员无法在巡检现场、应急响应或外出途中实时访问监控系统，导致设备状态无法即时掌握、告警无法及时接收、故障处理延迟。缺乏移动支持还限制了GPS定位、离线任务、现场拍照等移动场景功能的实现，严重影响运维效率和应急响应速度，无法满足现代运维工作对移动化、实时化、场景化的需求。</w:t>
      </w:r>
    </w:p>
    <w:p w14:paraId="49FEE58E">
      <w:pPr>
        <w:keepNext w:val="0"/>
        <w:keepLines w:val="0"/>
        <w:widowControl/>
        <w:suppressLineNumbers w:val="0"/>
        <w:pBdr>
          <w:top w:val="none" w:color="auto" w:sz="0" w:space="0"/>
          <w:bottom w:val="none" w:color="auto" w:sz="0" w:space="0"/>
        </w:pBdr>
        <w:shd w:val="clear" w:fill="FFFFFF"/>
        <w:ind w:left="0" w:firstLine="0"/>
        <w:jc w:val="left"/>
        <w:rPr>
          <w:rFonts w:ascii="Segoe UI" w:hAnsi="Segoe UI" w:eastAsia="Segoe UI" w:cs="Segoe UI"/>
          <w:i w:val="0"/>
          <w:iCs w:val="0"/>
          <w:caps w:val="0"/>
          <w:color w:val="800080"/>
          <w:spacing w:val="0"/>
          <w:sz w:val="16"/>
          <w:szCs w:val="16"/>
        </w:rPr>
      </w:pPr>
    </w:p>
    <w:p w14:paraId="12686849">
      <w:pPr>
        <w:pStyle w:val="29"/>
        <w:bidi w:val="0"/>
        <w:rPr>
          <w:rFonts w:hint="eastAsia"/>
          <w:lang w:val="en-US" w:eastAsia="zh-CN"/>
        </w:rPr>
      </w:pPr>
      <w:bookmarkStart w:id="63" w:name="_Toc10909"/>
      <w:r>
        <w:rPr>
          <w:rFonts w:hint="eastAsia"/>
          <w:lang w:val="en-US" w:eastAsia="zh-CN"/>
        </w:rPr>
        <w:t>改进目标</w:t>
      </w:r>
      <w:bookmarkEnd w:id="63"/>
    </w:p>
    <w:p w14:paraId="4B2B54E9">
      <w:pPr>
        <w:pStyle w:val="28"/>
        <w:rPr>
          <w:rFonts w:hint="eastAsia"/>
          <w:lang w:val="en-US" w:eastAsia="zh-CN"/>
        </w:rPr>
      </w:pPr>
      <w:r>
        <w:rPr>
          <w:rFonts w:hint="eastAsia"/>
          <w:lang w:val="en-US" w:eastAsia="zh-CN"/>
        </w:rPr>
        <w:t>为精准赋能一线运维现场，公司决定启动移动端应用专项研发。本次开发旨在将现有充电桩智能监控平台的核心功能完整迁移至移动端，并深度适配巡检、应急响应等移动场景，打造集实时监控、任务执行、远程协作于一体的移动工作平台，从根本上提升运维团队的现场处置效率与协同能力</w:t>
      </w:r>
    </w:p>
    <w:p w14:paraId="531B9856">
      <w:pPr>
        <w:pStyle w:val="29"/>
        <w:bidi w:val="0"/>
        <w:rPr>
          <w:rFonts w:hint="default"/>
          <w:lang w:val="en-US" w:eastAsia="zh-CN"/>
        </w:rPr>
      </w:pPr>
      <w:bookmarkStart w:id="64" w:name="_Toc30994"/>
      <w:r>
        <w:rPr>
          <w:rFonts w:hint="eastAsia"/>
          <w:lang w:val="en-US" w:eastAsia="zh-CN"/>
        </w:rPr>
        <w:t>实施计划</w:t>
      </w:r>
      <w:bookmarkEnd w:id="64"/>
    </w:p>
    <w:p w14:paraId="7FF97B3E">
      <w:pPr>
        <w:pStyle w:val="28"/>
        <w:rPr>
          <w:rFonts w:hint="default"/>
          <w:lang w:val="en-US" w:eastAsia="zh-CN"/>
        </w:rPr>
      </w:pPr>
      <w:r>
        <w:rPr>
          <w:rFonts w:hint="default"/>
          <w:lang w:val="en-US" w:eastAsia="zh-CN"/>
        </w:rPr>
        <w:t>本次二次开发将依据《运维服务技术研发规划》系统推进。计划将围绕需求细化、功能设计、迭代开发、测试上线及培训推广等关键阶段展开，确保开发成果能有效落地并服务于运维团队的实际工作。详细的任务排期、资源分配与技术方案请参见该规划文档。</w:t>
      </w:r>
    </w:p>
    <w:p w14:paraId="4F9B41C4">
      <w:pPr>
        <w:pStyle w:val="27"/>
        <w:keepNext w:val="0"/>
        <w:keepLines w:val="0"/>
        <w:pageBreakBefore w:val="0"/>
        <w:widowControl w:val="0"/>
        <w:kinsoku w:val="0"/>
        <w:wordWrap/>
        <w:overflowPunct/>
        <w:topLinePunct w:val="0"/>
        <w:autoSpaceDE w:val="0"/>
        <w:autoSpaceDN w:val="0"/>
        <w:bidi w:val="0"/>
        <w:adjustRightInd w:val="0"/>
        <w:snapToGrid w:val="0"/>
      </w:pPr>
      <w:bookmarkStart w:id="65" w:name="_Toc8024"/>
      <w:bookmarkStart w:id="66" w:name="_Toc20018"/>
      <w:bookmarkStart w:id="67" w:name="_Toc22162"/>
      <w:r>
        <w:t>过程体系方面</w:t>
      </w:r>
      <w:bookmarkEnd w:id="65"/>
      <w:bookmarkEnd w:id="66"/>
      <w:bookmarkEnd w:id="67"/>
    </w:p>
    <w:p w14:paraId="325BC274">
      <w:pPr>
        <w:pStyle w:val="29"/>
        <w:keepNext w:val="0"/>
        <w:keepLines w:val="0"/>
        <w:pageBreakBefore w:val="0"/>
        <w:widowControl w:val="0"/>
        <w:kinsoku w:val="0"/>
        <w:wordWrap/>
        <w:overflowPunct/>
        <w:topLinePunct w:val="0"/>
        <w:autoSpaceDE w:val="0"/>
        <w:autoSpaceDN w:val="0"/>
        <w:bidi w:val="0"/>
        <w:adjustRightInd w:val="0"/>
        <w:snapToGrid w:val="0"/>
      </w:pPr>
      <w:bookmarkStart w:id="68" w:name="bookmark70"/>
      <w:bookmarkEnd w:id="68"/>
      <w:bookmarkStart w:id="69" w:name="_Toc2634"/>
      <w:bookmarkStart w:id="70" w:name="_Toc3860"/>
      <w:bookmarkStart w:id="71" w:name="_Toc6053"/>
      <w:r>
        <w:t>现状分析</w:t>
      </w:r>
      <w:bookmarkEnd w:id="69"/>
      <w:bookmarkEnd w:id="70"/>
      <w:bookmarkEnd w:id="71"/>
    </w:p>
    <w:p w14:paraId="5C93911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经过多年的运行和发展，运维服务团队结合客户业务运维的特点，已形成一套适合我司信息化发展特点的过程管理规范，包括服务请求、故障处理、巡检、配置、发布、安全等管理规范和流程。现需要对</w:t>
      </w:r>
      <w:r>
        <w:rPr>
          <w:rFonts w:hint="eastAsia" w:ascii="宋体" w:hAnsi="宋体" w:eastAsia="宋体" w:cs="宋体"/>
          <w:spacing w:val="-1"/>
          <w:sz w:val="24"/>
          <w:szCs w:val="24"/>
          <w:lang w:val="en-US" w:eastAsia="zh-CN"/>
        </w:rPr>
        <w:t>以上</w:t>
      </w:r>
      <w:r>
        <w:rPr>
          <w:rFonts w:hint="eastAsia" w:ascii="宋体" w:hAnsi="宋体" w:eastAsia="宋体" w:cs="宋体"/>
          <w:spacing w:val="-1"/>
          <w:sz w:val="24"/>
          <w:szCs w:val="24"/>
        </w:rPr>
        <w:t>过程进行持续落实与优化，持续改进事件、变更、发布、信息安全管理、服务级别、服务报告、问题管理、配置管理等过程，以便在符合业务运行情况下满足ITSS相关要求。</w:t>
      </w:r>
    </w:p>
    <w:p w14:paraId="35AE0713">
      <w:pPr>
        <w:pStyle w:val="29"/>
        <w:keepNext w:val="0"/>
        <w:keepLines w:val="0"/>
        <w:pageBreakBefore w:val="0"/>
        <w:widowControl w:val="0"/>
        <w:kinsoku w:val="0"/>
        <w:wordWrap/>
        <w:overflowPunct/>
        <w:topLinePunct w:val="0"/>
        <w:autoSpaceDE w:val="0"/>
        <w:autoSpaceDN w:val="0"/>
        <w:bidi w:val="0"/>
        <w:adjustRightInd w:val="0"/>
        <w:snapToGrid w:val="0"/>
      </w:pPr>
      <w:bookmarkStart w:id="72" w:name="_Toc18535"/>
      <w:bookmarkStart w:id="73" w:name="_Toc6652"/>
      <w:bookmarkStart w:id="74" w:name="_Toc27429"/>
      <w:r>
        <w:t>改进目标</w:t>
      </w:r>
      <w:bookmarkEnd w:id="72"/>
      <w:bookmarkEnd w:id="73"/>
      <w:bookmarkEnd w:id="74"/>
    </w:p>
    <w:p w14:paraId="2D653712">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75" w:name="bookmark71"/>
      <w:bookmarkEnd w:id="75"/>
      <w:bookmarkStart w:id="76" w:name="_Toc10375"/>
      <w:bookmarkStart w:id="77" w:name="_Toc28074"/>
      <w:bookmarkStart w:id="78" w:name="_Toc552"/>
      <w:bookmarkStart w:id="79" w:name="_Toc1428"/>
      <w:bookmarkStart w:id="80" w:name="_Toc5916"/>
      <w:r>
        <w:rPr>
          <w:rFonts w:hint="eastAsia"/>
          <w:lang w:val="en-US" w:eastAsia="zh-CN"/>
        </w:rPr>
        <w:t>过程框架设计</w:t>
      </w:r>
      <w:bookmarkEnd w:id="76"/>
      <w:bookmarkEnd w:id="77"/>
      <w:bookmarkEnd w:id="78"/>
    </w:p>
    <w:p w14:paraId="41F5866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建立一个灵活、可扩展的过程框架，用于管理和执行业务流程、工作流或系统操作序列。</w:t>
      </w:r>
    </w:p>
    <w:p w14:paraId="780A07A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选择一个运维项目在依据业主方要求建立《过程框架设计方案》并在服务过程中提交阶段性服务报告。</w:t>
      </w:r>
    </w:p>
    <w:p w14:paraId="0B13124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3、过程框架每半年至少评估一次。</w:t>
      </w:r>
    </w:p>
    <w:p w14:paraId="1A14E818">
      <w:pPr>
        <w:pStyle w:val="30"/>
        <w:keepNext w:val="0"/>
        <w:keepLines w:val="0"/>
        <w:pageBreakBefore w:val="0"/>
        <w:widowControl w:val="0"/>
        <w:kinsoku w:val="0"/>
        <w:wordWrap/>
        <w:overflowPunct/>
        <w:topLinePunct w:val="0"/>
        <w:autoSpaceDE w:val="0"/>
        <w:autoSpaceDN w:val="0"/>
        <w:bidi w:val="0"/>
        <w:adjustRightInd w:val="0"/>
        <w:snapToGrid w:val="0"/>
      </w:pPr>
      <w:bookmarkStart w:id="81" w:name="_Toc18312"/>
      <w:r>
        <w:t>服务级别管理</w:t>
      </w:r>
      <w:bookmarkEnd w:id="79"/>
      <w:bookmarkEnd w:id="80"/>
      <w:bookmarkEnd w:id="81"/>
    </w:p>
    <w:p w14:paraId="7C9D51A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ascii="宋体" w:hAnsi="宋体" w:eastAsia="宋体" w:cs="宋体"/>
          <w:spacing w:val="-2"/>
          <w:sz w:val="24"/>
          <w:szCs w:val="24"/>
        </w:rPr>
        <w:t>1</w:t>
      </w:r>
      <w:r>
        <w:rPr>
          <w:rFonts w:hint="eastAsia" w:ascii="宋体" w:hAnsi="宋体" w:eastAsia="宋体" w:cs="宋体"/>
          <w:spacing w:val="-1"/>
          <w:sz w:val="24"/>
          <w:szCs w:val="24"/>
          <w:lang w:val="en-US" w:eastAsia="zh-CN"/>
        </w:rPr>
        <w:t>、继续执行《服务级别管理程序》，并持续优化、改进服务级别管理过程，根据现场实际情况制定SLA相关指标，不同客户使用不同标准。</w:t>
      </w:r>
    </w:p>
    <w:p w14:paraId="564B4FBD">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2、定期召开SLA回顾会议，对SLA进行有效评审，对于不适合的SLA进行改进。</w:t>
      </w:r>
    </w:p>
    <w:p w14:paraId="14C74112">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3、提高所有人员尤其是现场一线工程师对服务级别协议的履行意识，加强对项目服务级别协议的执行管控，提高客户满意度。</w:t>
      </w:r>
    </w:p>
    <w:p w14:paraId="36F3B867">
      <w:pPr>
        <w:pStyle w:val="30"/>
        <w:keepNext w:val="0"/>
        <w:keepLines w:val="0"/>
        <w:pageBreakBefore w:val="0"/>
        <w:widowControl w:val="0"/>
        <w:kinsoku w:val="0"/>
        <w:wordWrap/>
        <w:overflowPunct/>
        <w:topLinePunct w:val="0"/>
        <w:autoSpaceDE w:val="0"/>
        <w:autoSpaceDN w:val="0"/>
        <w:bidi w:val="0"/>
        <w:adjustRightInd w:val="0"/>
        <w:snapToGrid w:val="0"/>
      </w:pPr>
      <w:bookmarkStart w:id="82" w:name="_Toc15217"/>
      <w:bookmarkStart w:id="83" w:name="_Toc419"/>
      <w:bookmarkStart w:id="84" w:name="_Toc23395"/>
      <w:r>
        <w:t>服务报告管理</w:t>
      </w:r>
      <w:bookmarkEnd w:id="82"/>
      <w:bookmarkEnd w:id="83"/>
      <w:bookmarkEnd w:id="84"/>
    </w:p>
    <w:p w14:paraId="00825621">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1、继续执行《服务报告管理程序》，并持续优化、改进服务报告管理过程。如明确运维过程中需要提交的相关文档（服务报告等），规范《服务报告》模板，推广到各项目中进行实际应用。</w:t>
      </w:r>
    </w:p>
    <w:p w14:paraId="4158633D">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2、改进《服务报告》，提高报告提交的规范性和及时性。</w:t>
      </w:r>
    </w:p>
    <w:p w14:paraId="3261D120">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3、根据客户的要求，进行定期或者不定期的沟通。</w:t>
      </w:r>
    </w:p>
    <w:p w14:paraId="622BC129">
      <w:pPr>
        <w:pStyle w:val="30"/>
        <w:keepNext w:val="0"/>
        <w:keepLines w:val="0"/>
        <w:pageBreakBefore w:val="0"/>
        <w:widowControl w:val="0"/>
        <w:kinsoku w:val="0"/>
        <w:wordWrap/>
        <w:overflowPunct/>
        <w:topLinePunct w:val="0"/>
        <w:autoSpaceDE w:val="0"/>
        <w:autoSpaceDN w:val="0"/>
        <w:bidi w:val="0"/>
        <w:adjustRightInd w:val="0"/>
        <w:snapToGrid w:val="0"/>
      </w:pPr>
      <w:bookmarkStart w:id="85" w:name="_Toc10758"/>
      <w:bookmarkStart w:id="86" w:name="_Toc5598"/>
      <w:bookmarkStart w:id="87" w:name="_Toc10831"/>
      <w:r>
        <w:t>事件管理</w:t>
      </w:r>
      <w:bookmarkEnd w:id="85"/>
      <w:bookmarkEnd w:id="86"/>
      <w:bookmarkEnd w:id="87"/>
    </w:p>
    <w:p w14:paraId="2C10FFF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1、继续执行《服务事件管理程序》，并持续优化、改进服务事件管理过程。对事件过程监控和升级策略进行调整、优化，及时发现事件处理中可能出现的延误和SLA不能达成的情况。</w:t>
      </w:r>
    </w:p>
    <w:p w14:paraId="4926FB1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2、加强对一线工程师技术培训，加快识别事件和问题的能力，避免大问题记录成小事件的现象。</w:t>
      </w:r>
    </w:p>
    <w:p w14:paraId="5A939D9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3、加强运维事件响应时间管理。</w:t>
      </w:r>
    </w:p>
    <w:p w14:paraId="5D5973E6">
      <w:pPr>
        <w:pStyle w:val="30"/>
        <w:keepNext w:val="0"/>
        <w:keepLines w:val="0"/>
        <w:pageBreakBefore w:val="0"/>
        <w:widowControl w:val="0"/>
        <w:kinsoku w:val="0"/>
        <w:wordWrap/>
        <w:overflowPunct/>
        <w:topLinePunct w:val="0"/>
        <w:autoSpaceDE w:val="0"/>
        <w:autoSpaceDN w:val="0"/>
        <w:bidi w:val="0"/>
        <w:adjustRightInd w:val="0"/>
        <w:snapToGrid w:val="0"/>
      </w:pPr>
      <w:bookmarkStart w:id="88" w:name="_Toc1525"/>
      <w:bookmarkStart w:id="89" w:name="_Toc4066"/>
      <w:bookmarkStart w:id="90" w:name="_Toc15038"/>
      <w:r>
        <w:t>问题管理</w:t>
      </w:r>
      <w:bookmarkEnd w:id="88"/>
      <w:bookmarkEnd w:id="89"/>
      <w:bookmarkEnd w:id="90"/>
    </w:p>
    <w:p w14:paraId="14A39C0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1、继续严格执行《服务问题管理程序》，并持续优化、改进服务问题管理过程。如明确相应的流程和职责等。</w:t>
      </w:r>
    </w:p>
    <w:p w14:paraId="40D21398">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2、明确问题的来源渠道（提出人，问题所属业务系统），明确问题责任人和监督部门。</w:t>
      </w:r>
    </w:p>
    <w:p w14:paraId="54865E16">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3、加强问题处理流程培训，明确问题的分类、分级，提高处理、监督分析效率。</w:t>
      </w:r>
    </w:p>
    <w:p w14:paraId="384D6FB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4、问题管理KPI考核指标的持续跟踪。</w:t>
      </w:r>
    </w:p>
    <w:p w14:paraId="37C38410">
      <w:pPr>
        <w:pStyle w:val="30"/>
        <w:keepNext w:val="0"/>
        <w:keepLines w:val="0"/>
        <w:pageBreakBefore w:val="0"/>
        <w:widowControl w:val="0"/>
        <w:kinsoku w:val="0"/>
        <w:wordWrap/>
        <w:overflowPunct/>
        <w:topLinePunct w:val="0"/>
        <w:autoSpaceDE w:val="0"/>
        <w:autoSpaceDN w:val="0"/>
        <w:bidi w:val="0"/>
        <w:adjustRightInd w:val="0"/>
        <w:snapToGrid w:val="0"/>
      </w:pPr>
      <w:bookmarkStart w:id="91" w:name="_Toc7496"/>
      <w:bookmarkStart w:id="92" w:name="_Toc15471"/>
      <w:bookmarkStart w:id="93" w:name="_Toc31693"/>
      <w:r>
        <w:t>变更管理</w:t>
      </w:r>
      <w:bookmarkEnd w:id="91"/>
      <w:bookmarkEnd w:id="92"/>
      <w:bookmarkEnd w:id="93"/>
    </w:p>
    <w:p w14:paraId="07A7BF88">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1、严格执行《变更管理程序》，并持续优化、改进变更管理过程。</w:t>
      </w:r>
    </w:p>
    <w:p w14:paraId="21EA954F">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2、明确变更管理的范围和要求，确立相关角色和职责，尤其是变更决策。</w:t>
      </w:r>
    </w:p>
    <w:p w14:paraId="43727DC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3、严格执行《变更管理程序》，对变更进行监控，定期的检查和审计。</w:t>
      </w:r>
    </w:p>
    <w:p w14:paraId="7F9DEEE2">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4、定期组织人员对变更、发布管理程序进行研讨，运维部根据研讨内容对变更、发布管理程序进行持续改进。</w:t>
      </w:r>
    </w:p>
    <w:p w14:paraId="7DDFA624">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4" w:name="_Toc25534"/>
      <w:bookmarkStart w:id="95" w:name="_Toc12154"/>
      <w:bookmarkStart w:id="96" w:name="_Toc27350"/>
      <w:r>
        <w:t>发布</w:t>
      </w:r>
      <w:r>
        <w:rPr>
          <w:rFonts w:hint="eastAsia"/>
          <w:lang w:val="en-US" w:eastAsia="zh-CN"/>
        </w:rPr>
        <w:t>管理</w:t>
      </w:r>
      <w:bookmarkEnd w:id="94"/>
    </w:p>
    <w:p w14:paraId="52B0630F">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1、严格执行《发布管理程序》并持续优化、改进发布管理过程。</w:t>
      </w:r>
    </w:p>
    <w:p w14:paraId="641DFBF1">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2、明确发布管理的范围和要求，确立相关角色和职责。</w:t>
      </w:r>
    </w:p>
    <w:p w14:paraId="06473B5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3、严格执行《发布管理程序》，对发布进行监控，定期的检查和审计。</w:t>
      </w:r>
    </w:p>
    <w:p w14:paraId="3DDD4D09">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7" w:name="_Toc25597"/>
      <w:r>
        <w:rPr>
          <w:rFonts w:hint="eastAsia"/>
          <w:lang w:val="en-US" w:eastAsia="zh-CN"/>
        </w:rPr>
        <w:t>配置</w:t>
      </w:r>
      <w:r>
        <w:t>管理</w:t>
      </w:r>
      <w:bookmarkEnd w:id="95"/>
      <w:bookmarkEnd w:id="96"/>
      <w:bookmarkEnd w:id="97"/>
    </w:p>
    <w:p w14:paraId="6296DC39">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1、继续执行《配置管理程序》，并持续优化、改进配置管理过程，规范、明确配置项之间的逻辑。</w:t>
      </w:r>
    </w:p>
    <w:p w14:paraId="3F8B66BE">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2、改进配置管理文档模板，规范配置项的记录格式。</w:t>
      </w:r>
    </w:p>
    <w:p w14:paraId="5DC49A7A">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3、及时执行配置的审计和验证。</w:t>
      </w:r>
    </w:p>
    <w:p w14:paraId="498A53C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4、与其他管理过程配合，设立配置变更策略，对配置项的变更及时更新。</w:t>
      </w:r>
    </w:p>
    <w:p w14:paraId="1DC7EC00">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8" w:name="_Toc26220"/>
      <w:bookmarkStart w:id="99" w:name="_Toc17542"/>
      <w:bookmarkStart w:id="100" w:name="_Toc20156"/>
      <w:r>
        <w:rPr>
          <w:rFonts w:hint="eastAsia"/>
          <w:lang w:val="en-US" w:eastAsia="zh-CN"/>
        </w:rPr>
        <w:t>服务可用性和连续性管理</w:t>
      </w:r>
      <w:bookmarkEnd w:id="98"/>
      <w:bookmarkEnd w:id="99"/>
      <w:bookmarkEnd w:id="100"/>
    </w:p>
    <w:p w14:paraId="4CCC99A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本年度内建立《服务可用性与连续性管理过程》，当客户业务发生中断或重大灾害、意外事件时，公司在符合成本效益和业务快速恢复的原则下，最大化降低客户业务损失。</w:t>
      </w:r>
    </w:p>
    <w:p w14:paraId="1D982A7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实现向容量管理提供灾难中或恢复阶段的服务容量需求，如人员和资源的配给；向变更管理提供可用性计划和连续性计划的变更请求；向服务报告管理输出可用性和连续性管理数据。</w:t>
      </w:r>
    </w:p>
    <w:p w14:paraId="014C756E">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101" w:name="_Toc10388"/>
      <w:bookmarkStart w:id="102" w:name="_Toc10476"/>
      <w:bookmarkStart w:id="103" w:name="_Toc20731"/>
      <w:r>
        <w:rPr>
          <w:rFonts w:hint="eastAsia"/>
          <w:lang w:val="en-US" w:eastAsia="zh-CN"/>
        </w:rPr>
        <w:t>容量管理</w:t>
      </w:r>
      <w:bookmarkEnd w:id="101"/>
      <w:bookmarkEnd w:id="102"/>
      <w:bookmarkEnd w:id="103"/>
    </w:p>
    <w:p w14:paraId="357EF1C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本年度内建立《容量管理策略》，对业务系统额定容量展开监控和处置，消除客户业务容量风险，确保公司提供的服务满足规定的 SLA，确保客户业务系统的运行满足业务需求。</w:t>
      </w:r>
    </w:p>
    <w:p w14:paraId="19C774D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实现向变更管理提供容量管理变更请求；向服务报告管理输出容量管理数据。</w:t>
      </w:r>
    </w:p>
    <w:p w14:paraId="2618EF3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3、季度容量事件次数不超过2次。</w:t>
      </w:r>
    </w:p>
    <w:p w14:paraId="681D2F23">
      <w:pPr>
        <w:pStyle w:val="30"/>
        <w:keepNext w:val="0"/>
        <w:keepLines w:val="0"/>
        <w:pageBreakBefore w:val="0"/>
        <w:widowControl w:val="0"/>
        <w:kinsoku w:val="0"/>
        <w:wordWrap/>
        <w:overflowPunct/>
        <w:topLinePunct w:val="0"/>
        <w:autoSpaceDE w:val="0"/>
        <w:autoSpaceDN w:val="0"/>
        <w:bidi w:val="0"/>
        <w:adjustRightInd w:val="0"/>
        <w:snapToGrid w:val="0"/>
      </w:pPr>
      <w:bookmarkStart w:id="104" w:name="_Toc6186"/>
      <w:bookmarkStart w:id="105" w:name="_Toc915"/>
      <w:bookmarkStart w:id="106" w:name="_Toc13309"/>
      <w:r>
        <w:t>信息安全管理</w:t>
      </w:r>
      <w:bookmarkEnd w:id="104"/>
      <w:bookmarkEnd w:id="105"/>
      <w:bookmarkEnd w:id="106"/>
    </w:p>
    <w:p w14:paraId="01B32488">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为保障我司无任何信息安全事件发生，关于信息安全管理方面，计划进行如下工作：</w:t>
      </w:r>
    </w:p>
    <w:p w14:paraId="53CB503D">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继续执行《信息安全管理程序》，并持续优化、改进信息安全管理过程，做到风险评估全面覆盖。</w:t>
      </w:r>
    </w:p>
    <w:p w14:paraId="0E616FE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及时收集和更新客户以及法律法规对于信息安全制度的要求。</w:t>
      </w:r>
    </w:p>
    <w:p w14:paraId="2F66C9A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3、进行信息安全相关的培训。</w:t>
      </w:r>
    </w:p>
    <w:p w14:paraId="6AA52BC4">
      <w:pPr>
        <w:pStyle w:val="29"/>
        <w:keepNext w:val="0"/>
        <w:keepLines w:val="0"/>
        <w:pageBreakBefore w:val="0"/>
        <w:widowControl w:val="0"/>
        <w:kinsoku w:val="0"/>
        <w:wordWrap/>
        <w:overflowPunct/>
        <w:topLinePunct w:val="0"/>
        <w:autoSpaceDE w:val="0"/>
        <w:autoSpaceDN w:val="0"/>
        <w:bidi w:val="0"/>
        <w:adjustRightInd w:val="0"/>
        <w:snapToGrid w:val="0"/>
      </w:pPr>
      <w:bookmarkStart w:id="107" w:name="_Toc7113"/>
      <w:bookmarkStart w:id="108" w:name="_Toc16024"/>
      <w:bookmarkStart w:id="109" w:name="_Toc31269"/>
      <w:r>
        <w:t>实施计划</w:t>
      </w:r>
      <w:bookmarkEnd w:id="107"/>
      <w:bookmarkEnd w:id="108"/>
      <w:bookmarkEnd w:id="109"/>
    </w:p>
    <w:tbl>
      <w:tblPr>
        <w:tblStyle w:val="21"/>
        <w:tblW w:w="86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12"/>
        <w:gridCol w:w="1752"/>
        <w:gridCol w:w="1884"/>
        <w:gridCol w:w="1944"/>
        <w:gridCol w:w="1949"/>
      </w:tblGrid>
      <w:tr w14:paraId="00AA6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49E4F0A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过程名称</w:t>
            </w:r>
          </w:p>
        </w:tc>
        <w:tc>
          <w:tcPr>
            <w:tcW w:w="1752" w:type="dxa"/>
            <w:shd w:val="clear" w:color="auto" w:fill="auto"/>
          </w:tcPr>
          <w:p w14:paraId="3A213E9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应用场景</w:t>
            </w:r>
          </w:p>
        </w:tc>
        <w:tc>
          <w:tcPr>
            <w:tcW w:w="1884" w:type="dxa"/>
            <w:shd w:val="clear" w:color="auto" w:fill="auto"/>
          </w:tcPr>
          <w:p w14:paraId="799853F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关键指标</w:t>
            </w:r>
          </w:p>
        </w:tc>
        <w:tc>
          <w:tcPr>
            <w:tcW w:w="1944" w:type="dxa"/>
            <w:shd w:val="clear" w:color="auto" w:fill="auto"/>
          </w:tcPr>
          <w:p w14:paraId="5E03B26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与其他过程的输入</w:t>
            </w:r>
          </w:p>
        </w:tc>
        <w:tc>
          <w:tcPr>
            <w:tcW w:w="1949" w:type="dxa"/>
            <w:shd w:val="clear" w:color="auto" w:fill="auto"/>
          </w:tcPr>
          <w:p w14:paraId="0EB3438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对其他过程的输出</w:t>
            </w:r>
          </w:p>
        </w:tc>
      </w:tr>
      <w:tr w14:paraId="0CB9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8C01CB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服务级别管理</w:t>
            </w:r>
          </w:p>
        </w:tc>
        <w:tc>
          <w:tcPr>
            <w:tcW w:w="1752" w:type="dxa"/>
            <w:shd w:val="clear" w:color="auto" w:fill="auto"/>
          </w:tcPr>
          <w:p w14:paraId="1F8CE23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用于运维服务需求从受理到方案提供、SLA 签订、 SLA 实施与监控的全生命周期管理</w:t>
            </w:r>
          </w:p>
        </w:tc>
        <w:tc>
          <w:tcPr>
            <w:tcW w:w="1884" w:type="dxa"/>
            <w:shd w:val="clear" w:color="auto" w:fill="auto"/>
          </w:tcPr>
          <w:p w14:paraId="19F491D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SLA 达成率≥90%</w:t>
            </w:r>
          </w:p>
          <w:p w14:paraId="33DE328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计算方式：（满足服务级别事件数/事件总数）*100% 考 核频次：</w:t>
            </w:r>
            <w:r>
              <w:rPr>
                <w:rFonts w:hint="eastAsia"/>
                <w:lang w:val="en-US" w:eastAsia="zh-CN"/>
              </w:rPr>
              <w:t>季度</w:t>
            </w:r>
            <w:r>
              <w:rPr>
                <w:rFonts w:hint="default"/>
                <w:lang w:val="en-US" w:eastAsia="zh-CN"/>
              </w:rPr>
              <w:t xml:space="preserve"> </w:t>
            </w:r>
          </w:p>
        </w:tc>
        <w:tc>
          <w:tcPr>
            <w:tcW w:w="1944" w:type="dxa"/>
            <w:shd w:val="clear" w:color="auto" w:fill="auto"/>
          </w:tcPr>
          <w:p w14:paraId="3A0DA34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从可用性和连续性管理、容量管理、事件管理、信息安全管理获得服务级别协议相关信息</w:t>
            </w:r>
          </w:p>
        </w:tc>
        <w:tc>
          <w:tcPr>
            <w:tcW w:w="1949" w:type="dxa"/>
            <w:shd w:val="clear" w:color="auto" w:fill="auto"/>
          </w:tcPr>
          <w:p w14:paraId="41FAFD4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 向可用性和连续性管理 、 容量管理 、 事件管理、信息安全管理、服务报告管理提供服务级别协议相关信息；</w:t>
            </w:r>
          </w:p>
          <w:p w14:paraId="0CAD9FE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、向变更管理提供服务级别相关变更请求</w:t>
            </w:r>
          </w:p>
        </w:tc>
      </w:tr>
      <w:tr w14:paraId="5A272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14BE9E5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服务报告管理</w:t>
            </w:r>
          </w:p>
        </w:tc>
        <w:tc>
          <w:tcPr>
            <w:tcW w:w="1752" w:type="dxa"/>
            <w:shd w:val="clear" w:color="auto" w:fill="auto"/>
          </w:tcPr>
          <w:p w14:paraId="2C7C6BF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用于管理运维项目中各类服务报告，包含各类方案、阶段性总结报告、验收汇报等</w:t>
            </w:r>
          </w:p>
        </w:tc>
        <w:tc>
          <w:tcPr>
            <w:tcW w:w="1884" w:type="dxa"/>
            <w:shd w:val="clear" w:color="auto" w:fill="auto"/>
          </w:tcPr>
          <w:p w14:paraId="11D4DEA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服务报告及时率 ≥9</w:t>
            </w:r>
            <w:r>
              <w:rPr>
                <w:rFonts w:hint="eastAsia"/>
                <w:lang w:val="en-US" w:eastAsia="zh-CN"/>
              </w:rPr>
              <w:t>0</w:t>
            </w:r>
            <w:r>
              <w:rPr>
                <w:rFonts w:hint="default"/>
                <w:lang w:val="en-US" w:eastAsia="zh-CN"/>
              </w:rPr>
              <w:t>%计算方式：及时提交服务报告次数/需提交服务报告总次数</w:t>
            </w:r>
            <w:r>
              <w:rPr>
                <w:rFonts w:hint="eastAsia"/>
                <w:lang w:val="en-US" w:eastAsia="zh-CN"/>
              </w:rPr>
              <w:t>*</w:t>
            </w:r>
            <w:r>
              <w:rPr>
                <w:rFonts w:hint="default"/>
                <w:lang w:val="en-US" w:eastAsia="zh-CN"/>
              </w:rPr>
              <w:t>100%</w:t>
            </w:r>
            <w:r>
              <w:rPr>
                <w:rFonts w:hint="eastAsia"/>
                <w:lang w:val="en-US" w:eastAsia="zh-CN"/>
              </w:rPr>
              <w:t>,频次:月度</w:t>
            </w:r>
          </w:p>
        </w:tc>
        <w:tc>
          <w:tcPr>
            <w:tcW w:w="1944" w:type="dxa"/>
            <w:shd w:val="clear" w:color="auto" w:fill="auto"/>
          </w:tcPr>
          <w:p w14:paraId="08B4C3F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运维过程中相关报告与记录或其它信息渠道获取</w:t>
            </w:r>
          </w:p>
        </w:tc>
        <w:tc>
          <w:tcPr>
            <w:tcW w:w="1949" w:type="dxa"/>
          </w:tcPr>
          <w:p w14:paraId="74BFF41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w:t>
            </w:r>
            <w:r>
              <w:rPr>
                <w:rFonts w:hint="default"/>
                <w:lang w:val="en-US" w:eastAsia="zh-CN"/>
              </w:rPr>
              <w:t>提供《SLA达成情况分析报告》，用于评估服务级别协议履行情况，支持SLA评审与调整。</w:t>
            </w:r>
          </w:p>
          <w:p w14:paraId="19171AD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2、</w:t>
            </w:r>
            <w:r>
              <w:rPr>
                <w:rFonts w:hint="default"/>
                <w:lang w:val="en-US" w:eastAsia="zh-CN"/>
              </w:rPr>
              <w:t>提供《事件处理统计分析报告》，用于评估事件响应与解决效果，支持事件流程优化。</w:t>
            </w:r>
          </w:p>
          <w:p w14:paraId="6628D50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提供《问题趋势分析报告》，用于识别重复事件与系统性问题，支持根源分析。</w:t>
            </w:r>
          </w:p>
          <w:p w14:paraId="1AB8814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4、</w:t>
            </w:r>
            <w:r>
              <w:rPr>
                <w:rFonts w:hint="default"/>
                <w:lang w:val="en-US" w:eastAsia="zh-CN"/>
              </w:rPr>
              <w:t>提供《变更实施后评估报告》，用于评估变更对服务的影响，支持变更决策与复盘。</w:t>
            </w:r>
          </w:p>
        </w:tc>
      </w:tr>
      <w:tr w14:paraId="552E8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685C98B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事件管理</w:t>
            </w:r>
          </w:p>
        </w:tc>
        <w:tc>
          <w:tcPr>
            <w:tcW w:w="1752" w:type="dxa"/>
            <w:shd w:val="clear" w:color="auto" w:fill="auto"/>
          </w:tcPr>
          <w:p w14:paraId="50C615B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确保业务系统各类事件能在最短的时间内得到解决，满足公司与客户约定的SLA要求</w:t>
            </w:r>
          </w:p>
        </w:tc>
        <w:tc>
          <w:tcPr>
            <w:tcW w:w="1884" w:type="dxa"/>
            <w:shd w:val="clear" w:color="auto" w:fill="auto"/>
          </w:tcPr>
          <w:p w14:paraId="286D325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1.事件解决率</w:t>
            </w:r>
            <w:r>
              <w:rPr>
                <w:rFonts w:hint="default"/>
                <w:lang w:val="en-US" w:eastAsia="zh-CN"/>
              </w:rPr>
              <w:t>≥9</w:t>
            </w:r>
            <w:r>
              <w:rPr>
                <w:rFonts w:hint="eastAsia"/>
                <w:lang w:val="en-US" w:eastAsia="zh-CN"/>
              </w:rPr>
              <w:t>5</w:t>
            </w:r>
            <w:r>
              <w:rPr>
                <w:rFonts w:hint="default"/>
                <w:lang w:val="en-US" w:eastAsia="zh-CN"/>
              </w:rPr>
              <w:t>%</w:t>
            </w:r>
          </w:p>
          <w:p w14:paraId="067FD759">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计算方式：成功解决事件数/已关闭事件总数</w:t>
            </w:r>
            <w:r>
              <w:rPr>
                <w:rFonts w:hint="eastAsia"/>
                <w:lang w:val="en-US" w:eastAsia="zh-CN"/>
              </w:rPr>
              <w:t>*100%</w:t>
            </w:r>
          </w:p>
          <w:p w14:paraId="3BB486F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按月</w:t>
            </w:r>
          </w:p>
          <w:p w14:paraId="1624B2D9">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2.</w:t>
            </w:r>
            <w:r>
              <w:rPr>
                <w:rFonts w:hint="default"/>
                <w:lang w:val="en-US" w:eastAsia="zh-CN"/>
              </w:rPr>
              <w:t>事件</w:t>
            </w:r>
            <w:r>
              <w:rPr>
                <w:rFonts w:hint="eastAsia"/>
                <w:lang w:val="en-US" w:eastAsia="zh-CN"/>
              </w:rPr>
              <w:t>按时</w:t>
            </w:r>
            <w:r>
              <w:rPr>
                <w:rFonts w:hint="default"/>
                <w:lang w:val="en-US" w:eastAsia="zh-CN"/>
              </w:rPr>
              <w:t>解决及时率9</w:t>
            </w:r>
            <w:r>
              <w:rPr>
                <w:rFonts w:hint="eastAsia"/>
                <w:lang w:val="en-US" w:eastAsia="zh-CN"/>
              </w:rPr>
              <w:t>5</w:t>
            </w:r>
            <w:r>
              <w:rPr>
                <w:rFonts w:hint="default"/>
                <w:lang w:val="en-US" w:eastAsia="zh-CN"/>
              </w:rPr>
              <w:t>%</w:t>
            </w:r>
          </w:p>
          <w:p w14:paraId="2BFBDD96">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计算方式：（按照事件等级规定时间内解决的事件数/已关闭事件总数）*100% 考核频次：</w:t>
            </w:r>
            <w:r>
              <w:rPr>
                <w:rFonts w:hint="eastAsia"/>
                <w:lang w:val="en-US" w:eastAsia="zh-CN"/>
              </w:rPr>
              <w:t>按月</w:t>
            </w:r>
          </w:p>
          <w:p w14:paraId="7F6D789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事件回访的及时率</w:t>
            </w:r>
            <w:r>
              <w:rPr>
                <w:rFonts w:hint="eastAsia"/>
                <w:lang w:val="en-US" w:eastAsia="zh-CN"/>
              </w:rPr>
              <w:t>95%</w:t>
            </w:r>
          </w:p>
          <w:p w14:paraId="6740DC7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按时回访的事件数量/已回访的事</w:t>
            </w:r>
          </w:p>
          <w:p w14:paraId="19C6690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件总数</w:t>
            </w:r>
            <w:r>
              <w:rPr>
                <w:rFonts w:hint="eastAsia"/>
                <w:lang w:val="en-US" w:eastAsia="zh-CN"/>
              </w:rPr>
              <w:t>*100%</w:t>
            </w:r>
          </w:p>
          <w:p w14:paraId="4E10BE4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按季度</w:t>
            </w:r>
          </w:p>
        </w:tc>
        <w:tc>
          <w:tcPr>
            <w:tcW w:w="1944" w:type="dxa"/>
            <w:shd w:val="clear" w:color="auto" w:fill="auto"/>
          </w:tcPr>
          <w:p w14:paraId="26047BD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、从服务级别管理获得服务级别协议相关信息；</w:t>
            </w:r>
          </w:p>
          <w:p w14:paraId="27070B0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、从变更管理获得事件 引发变更 的处理 结果；</w:t>
            </w:r>
          </w:p>
          <w:p w14:paraId="2160F2B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、从信息安全管理获得信息安全管理相关信息；</w:t>
            </w:r>
          </w:p>
          <w:p w14:paraId="050FB58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、从问题管理获得已知问题、已知错误和解决方案的信息；</w:t>
            </w:r>
          </w:p>
          <w:p w14:paraId="6F5D6A1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5 、从配置管理获得配置项信息；</w:t>
            </w:r>
          </w:p>
        </w:tc>
        <w:tc>
          <w:tcPr>
            <w:tcW w:w="1949" w:type="dxa"/>
            <w:shd w:val="clear" w:color="auto" w:fill="auto"/>
          </w:tcPr>
          <w:p w14:paraId="5CDD599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、向发布管理提供待发布信息、操作手册、已知错误信息；</w:t>
            </w:r>
          </w:p>
          <w:p w14:paraId="6899438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、向信息安全管理提供安全性突发事件报告和记录等信息，并触发信息安全管理；</w:t>
            </w:r>
          </w:p>
          <w:p w14:paraId="2196DE7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、向变更管理提供变更请求信息 ， 并触发变更管理；</w:t>
            </w:r>
          </w:p>
          <w:p w14:paraId="3C05E5D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、向问题管理提供重大、重复多次等相关事件信息。</w:t>
            </w:r>
          </w:p>
          <w:p w14:paraId="680132A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5 、向服务报告管理提供事件相关信息</w:t>
            </w:r>
          </w:p>
        </w:tc>
      </w:tr>
      <w:tr w14:paraId="5385F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53DC95CF">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问题管理</w:t>
            </w:r>
          </w:p>
        </w:tc>
        <w:tc>
          <w:tcPr>
            <w:tcW w:w="1752" w:type="dxa"/>
            <w:shd w:val="clear" w:color="auto" w:fill="auto"/>
          </w:tcPr>
          <w:p w14:paraId="7F9590B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对重复多次发生的事件、具有重大影响范围等事件进行根源调查、处置，避免事件的再次发</w:t>
            </w:r>
          </w:p>
          <w:p w14:paraId="5E78F85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生，提高系统可用性、连续性和容量</w:t>
            </w:r>
          </w:p>
        </w:tc>
        <w:tc>
          <w:tcPr>
            <w:tcW w:w="1884" w:type="dxa"/>
            <w:shd w:val="clear" w:color="auto" w:fill="auto"/>
          </w:tcPr>
          <w:p w14:paraId="21F5CFE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问题解决率≥</w:t>
            </w:r>
            <w:r>
              <w:rPr>
                <w:rFonts w:hint="eastAsia"/>
                <w:lang w:val="en-US" w:eastAsia="zh-CN"/>
              </w:rPr>
              <w:t>85</w:t>
            </w:r>
            <w:r>
              <w:rPr>
                <w:rFonts w:hint="default"/>
                <w:lang w:val="en-US" w:eastAsia="zh-CN"/>
              </w:rPr>
              <w:t>%</w:t>
            </w:r>
          </w:p>
          <w:p w14:paraId="3BC2BA0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 xml:space="preserve">计算方式： </w:t>
            </w:r>
            <w:r>
              <w:rPr>
                <w:rFonts w:hint="eastAsia"/>
                <w:lang w:val="en-US" w:eastAsia="zh-CN"/>
              </w:rPr>
              <w:t>成功解决的问题数</w:t>
            </w:r>
            <w:r>
              <w:rPr>
                <w:rFonts w:hint="default"/>
                <w:lang w:val="en-US" w:eastAsia="zh-CN"/>
              </w:rPr>
              <w:t>/问题总数*100%</w:t>
            </w:r>
          </w:p>
          <w:p w14:paraId="3E8C7EB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4877032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1、从事件管理获得突发事件报告的相关信息；</w:t>
            </w:r>
          </w:p>
          <w:p w14:paraId="4359A5D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2、从变更管理获得问题 引发变更的处理 结果；</w:t>
            </w:r>
          </w:p>
          <w:p w14:paraId="7A44724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3、从发布管理获得已知问题、已知错误和解决方案的相关信息；</w:t>
            </w:r>
          </w:p>
          <w:p w14:paraId="6037EDF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4、从配置管理获得配置项信息</w:t>
            </w:r>
          </w:p>
        </w:tc>
        <w:tc>
          <w:tcPr>
            <w:tcW w:w="1949" w:type="dxa"/>
            <w:shd w:val="clear" w:color="auto" w:fill="auto"/>
          </w:tcPr>
          <w:p w14:paraId="1CE8D2B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1、向变更管理提交变更请求信息；</w:t>
            </w:r>
          </w:p>
          <w:p w14:paraId="77CE9DB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2、向事件管理提供已知问题、 已知错误和解决方案的相关信息；</w:t>
            </w:r>
          </w:p>
          <w:p w14:paraId="4073D55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3、向服务报告管理提供问题相关信息</w:t>
            </w:r>
          </w:p>
        </w:tc>
      </w:tr>
      <w:tr w14:paraId="610C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5B87A8E">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p>
          <w:p w14:paraId="37E3370C">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变更管理</w:t>
            </w:r>
          </w:p>
        </w:tc>
        <w:tc>
          <w:tcPr>
            <w:tcW w:w="1752" w:type="dxa"/>
            <w:shd w:val="clear" w:color="auto" w:fill="auto"/>
          </w:tcPr>
          <w:p w14:paraId="2790D4C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从业务、技术两个角度管理客户业务系统生产环境变更，尽量降低变更对生产环境带来的影响</w:t>
            </w:r>
          </w:p>
        </w:tc>
        <w:tc>
          <w:tcPr>
            <w:tcW w:w="1884" w:type="dxa"/>
            <w:shd w:val="clear" w:color="auto" w:fill="auto"/>
          </w:tcPr>
          <w:p w14:paraId="4A33DDA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变更成功率≥9</w:t>
            </w:r>
            <w:r>
              <w:rPr>
                <w:rFonts w:hint="eastAsia"/>
                <w:lang w:val="en-US" w:eastAsia="zh-CN"/>
              </w:rPr>
              <w:t>8</w:t>
            </w:r>
            <w:r>
              <w:rPr>
                <w:rFonts w:hint="default"/>
                <w:lang w:val="en-US" w:eastAsia="zh-CN"/>
              </w:rPr>
              <w:t>%计算方式：1-(回退变更/变更总数)*100%考核频次：季度</w:t>
            </w:r>
          </w:p>
        </w:tc>
        <w:tc>
          <w:tcPr>
            <w:tcW w:w="1944" w:type="dxa"/>
            <w:shd w:val="clear" w:color="auto" w:fill="auto"/>
          </w:tcPr>
          <w:p w14:paraId="62F06BD6">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1 、从可用性和连续性管理获得可用性计划和连续性计划</w:t>
            </w:r>
            <w:r>
              <w:rPr>
                <w:rFonts w:hint="eastAsia"/>
                <w:lang w:val="en-US" w:eastAsia="zh-CN"/>
              </w:rPr>
              <w:t>;</w:t>
            </w:r>
          </w:p>
          <w:p w14:paraId="476A4FE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、从配置管理获得变更对业务产生的影响；</w:t>
            </w:r>
          </w:p>
          <w:p w14:paraId="0ACF9F2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、从服务级别管理、</w:t>
            </w:r>
          </w:p>
          <w:p w14:paraId="014AA04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信息安全管理、配置管理、事件管理、问题管理获得各过程的变更请求</w:t>
            </w:r>
          </w:p>
        </w:tc>
        <w:tc>
          <w:tcPr>
            <w:tcW w:w="1949" w:type="dxa"/>
            <w:shd w:val="clear" w:color="auto" w:fill="auto"/>
          </w:tcPr>
          <w:p w14:paraId="6FA3C77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、向配置管理提供配置项的更新和修改信息；2 、向发布管理提供变更授权；</w:t>
            </w:r>
          </w:p>
          <w:p w14:paraId="20287B2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、向事件管理、问题管理提供变更的处理结果；</w:t>
            </w:r>
          </w:p>
          <w:p w14:paraId="091908E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、向服务报告管理提供变更信息</w:t>
            </w:r>
          </w:p>
        </w:tc>
      </w:tr>
      <w:tr w14:paraId="705D8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67C7D7B">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发布管理</w:t>
            </w:r>
          </w:p>
        </w:tc>
        <w:tc>
          <w:tcPr>
            <w:tcW w:w="1752" w:type="dxa"/>
            <w:shd w:val="clear" w:color="auto" w:fill="auto"/>
          </w:tcPr>
          <w:p w14:paraId="6D11C59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对软硬件导入生产环境的过程进行管理</w:t>
            </w:r>
          </w:p>
        </w:tc>
        <w:tc>
          <w:tcPr>
            <w:tcW w:w="1884" w:type="dxa"/>
            <w:shd w:val="clear" w:color="auto" w:fill="auto"/>
          </w:tcPr>
          <w:p w14:paraId="0639393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发布成功率≥9</w:t>
            </w:r>
            <w:r>
              <w:rPr>
                <w:rFonts w:hint="eastAsia"/>
                <w:lang w:val="en-US" w:eastAsia="zh-CN"/>
              </w:rPr>
              <w:t>8</w:t>
            </w:r>
            <w:r>
              <w:rPr>
                <w:rFonts w:hint="default"/>
                <w:lang w:val="en-US" w:eastAsia="zh-CN"/>
              </w:rPr>
              <w:t>%</w:t>
            </w:r>
          </w:p>
          <w:p w14:paraId="1F92A15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计算方式：发布</w:t>
            </w:r>
            <w:r>
              <w:rPr>
                <w:rFonts w:hint="eastAsia"/>
                <w:lang w:val="en-US" w:eastAsia="zh-CN"/>
              </w:rPr>
              <w:t>成功</w:t>
            </w:r>
            <w:r>
              <w:rPr>
                <w:rFonts w:hint="default"/>
                <w:lang w:val="en-US" w:eastAsia="zh-CN"/>
              </w:rPr>
              <w:t>的数量/发布总数量</w:t>
            </w:r>
            <w:r>
              <w:rPr>
                <w:rFonts w:hint="eastAsia"/>
                <w:lang w:val="en-US" w:eastAsia="zh-CN"/>
              </w:rPr>
              <w:t>*</w:t>
            </w:r>
            <w:r>
              <w:rPr>
                <w:rFonts w:hint="default"/>
                <w:lang w:val="en-US" w:eastAsia="zh-CN"/>
              </w:rPr>
              <w:t>100%</w:t>
            </w:r>
          </w:p>
          <w:p w14:paraId="2F1187C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7DA33A5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从变更管理获得变更授权</w:t>
            </w:r>
          </w:p>
        </w:tc>
        <w:tc>
          <w:tcPr>
            <w:tcW w:w="1949" w:type="dxa"/>
            <w:shd w:val="clear" w:color="auto" w:fill="auto"/>
          </w:tcPr>
          <w:p w14:paraId="724F4EE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w:t>
            </w:r>
          </w:p>
          <w:p w14:paraId="3D25C4B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、向变更管理提供对变更记录的更新和修改信息；</w:t>
            </w:r>
          </w:p>
          <w:p w14:paraId="4BEE816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、向问题管理提供已知错误信息</w:t>
            </w:r>
          </w:p>
          <w:p w14:paraId="547619A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、向服务报告管理提供发布信息</w:t>
            </w:r>
          </w:p>
        </w:tc>
      </w:tr>
      <w:tr w14:paraId="12D85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58719B11">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配置管理</w:t>
            </w:r>
          </w:p>
        </w:tc>
        <w:tc>
          <w:tcPr>
            <w:tcW w:w="1752" w:type="dxa"/>
            <w:shd w:val="clear" w:color="auto" w:fill="auto"/>
          </w:tcPr>
          <w:p w14:paraId="4E238FD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确保客户业务系</w:t>
            </w:r>
          </w:p>
          <w:p w14:paraId="75DCC6F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统生产环境各类</w:t>
            </w:r>
          </w:p>
          <w:p w14:paraId="76813C2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配置项以及关系</w:t>
            </w:r>
          </w:p>
          <w:p w14:paraId="2C5B47D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能够得到及时地</w:t>
            </w:r>
          </w:p>
          <w:p w14:paraId="174E37E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导入和维护 ，从</w:t>
            </w:r>
          </w:p>
          <w:p w14:paraId="151D357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而展示客户业务</w:t>
            </w:r>
          </w:p>
          <w:p w14:paraId="23420EF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系统生产环境实</w:t>
            </w:r>
          </w:p>
          <w:p w14:paraId="0366CB3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时状态</w:t>
            </w:r>
          </w:p>
        </w:tc>
        <w:tc>
          <w:tcPr>
            <w:tcW w:w="1884" w:type="dxa"/>
            <w:shd w:val="clear" w:color="auto" w:fill="auto"/>
          </w:tcPr>
          <w:p w14:paraId="3A47F82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w:t>
            </w:r>
            <w:r>
              <w:rPr>
                <w:rFonts w:hint="eastAsia"/>
                <w:lang w:val="en-US" w:eastAsia="zh-CN"/>
              </w:rPr>
              <w:t>准确率</w:t>
            </w:r>
            <w:r>
              <w:rPr>
                <w:rFonts w:hint="default"/>
                <w:lang w:val="en-US" w:eastAsia="zh-CN"/>
              </w:rPr>
              <w:t>≥9</w:t>
            </w:r>
            <w:r>
              <w:rPr>
                <w:rFonts w:hint="eastAsia"/>
                <w:lang w:val="en-US" w:eastAsia="zh-CN"/>
              </w:rPr>
              <w:t>5</w:t>
            </w:r>
            <w:r>
              <w:rPr>
                <w:rFonts w:hint="default"/>
                <w:lang w:val="en-US" w:eastAsia="zh-CN"/>
              </w:rPr>
              <w:t>%计算方式：</w:t>
            </w:r>
            <w:r>
              <w:rPr>
                <w:rFonts w:hint="eastAsia"/>
                <w:lang w:val="en-US" w:eastAsia="zh-CN"/>
              </w:rPr>
              <w:t>配置准确数/配置总数*</w:t>
            </w:r>
            <w:r>
              <w:rPr>
                <w:rFonts w:hint="default"/>
                <w:lang w:val="en-US" w:eastAsia="zh-CN"/>
              </w:rPr>
              <w:t>100%</w:t>
            </w:r>
          </w:p>
          <w:p w14:paraId="263667F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74919BA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、从变更管理、发布管理获得对配置项的更新和修改信息；</w:t>
            </w:r>
          </w:p>
          <w:p w14:paraId="64BBE78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、从连续性和可用性管理获得可用性计划和连续性计划</w:t>
            </w:r>
          </w:p>
        </w:tc>
        <w:tc>
          <w:tcPr>
            <w:tcW w:w="1949" w:type="dxa"/>
            <w:shd w:val="clear" w:color="auto" w:fill="auto"/>
          </w:tcPr>
          <w:p w14:paraId="79814E3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向事件管理、 问题管理、变更管理、发布管理、可用性与连续性管理、容量管理、信息安全管理、服务报告管理提供配置项信息及配置项间的关系</w:t>
            </w:r>
          </w:p>
        </w:tc>
      </w:tr>
      <w:tr w14:paraId="34502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7723A5B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可用性和连续性管理</w:t>
            </w:r>
          </w:p>
        </w:tc>
        <w:tc>
          <w:tcPr>
            <w:tcW w:w="1752" w:type="dxa"/>
            <w:shd w:val="clear" w:color="auto" w:fill="auto"/>
          </w:tcPr>
          <w:p w14:paraId="03896F5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当客户业务发生中断或重大灾害、意外事件时，公司在符合成本效益和业务快速恢复的原则下，最大化降低客户业务损失</w:t>
            </w:r>
          </w:p>
        </w:tc>
        <w:tc>
          <w:tcPr>
            <w:tcW w:w="1884" w:type="dxa"/>
            <w:shd w:val="clear" w:color="auto" w:fill="auto"/>
          </w:tcPr>
          <w:p w14:paraId="3F4F90E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w:t>
            </w:r>
            <w:r>
              <w:rPr>
                <w:rFonts w:hint="eastAsia"/>
                <w:lang w:val="en-US" w:eastAsia="zh-CN"/>
              </w:rPr>
              <w:t>业务可用性</w:t>
            </w:r>
            <w:r>
              <w:rPr>
                <w:rFonts w:hint="default"/>
                <w:lang w:val="en-US" w:eastAsia="zh-CN"/>
              </w:rPr>
              <w:t>≥9</w:t>
            </w:r>
            <w:r>
              <w:rPr>
                <w:rFonts w:hint="eastAsia"/>
                <w:lang w:val="en-US" w:eastAsia="zh-CN"/>
              </w:rPr>
              <w:t>9</w:t>
            </w:r>
            <w:r>
              <w:rPr>
                <w:rFonts w:hint="default"/>
                <w:lang w:val="en-US" w:eastAsia="zh-CN"/>
              </w:rPr>
              <w:t>%：</w:t>
            </w:r>
          </w:p>
          <w:p w14:paraId="46B4D26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可用时间/</w:t>
            </w:r>
            <w:r>
              <w:rPr>
                <w:rFonts w:hint="eastAsia"/>
                <w:lang w:val="en-US" w:eastAsia="zh-CN"/>
              </w:rPr>
              <w:t>整体运行时间</w:t>
            </w:r>
            <w:r>
              <w:rPr>
                <w:rFonts w:hint="default"/>
                <w:lang w:val="en-US" w:eastAsia="zh-CN"/>
              </w:rPr>
              <w:t xml:space="preserve">*100%（ 考核频次 ： </w:t>
            </w:r>
            <w:r>
              <w:rPr>
                <w:rFonts w:hint="eastAsia"/>
                <w:lang w:val="en-US" w:eastAsia="zh-CN"/>
              </w:rPr>
              <w:t>季度</w:t>
            </w:r>
            <w:r>
              <w:rPr>
                <w:rFonts w:hint="default"/>
                <w:lang w:val="en-US" w:eastAsia="zh-CN"/>
              </w:rPr>
              <w:t>）</w:t>
            </w:r>
          </w:p>
          <w:p w14:paraId="2F446F88">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2、业务连续性</w:t>
            </w:r>
            <w:r>
              <w:rPr>
                <w:rFonts w:hint="eastAsia"/>
                <w:lang w:val="en-US" w:eastAsia="zh-CN"/>
              </w:rPr>
              <w:t>≤2次</w:t>
            </w:r>
          </w:p>
          <w:p w14:paraId="7932597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eastAsia"/>
                <w:lang w:val="en-US" w:eastAsia="zh-CN"/>
              </w:rPr>
              <w:t>计算方式:突发事件导致中断次数</w:t>
            </w: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14:paraId="03690A6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14:paraId="69B0722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2、从配置管理获取配置项信息；</w:t>
            </w:r>
          </w:p>
        </w:tc>
        <w:tc>
          <w:tcPr>
            <w:tcW w:w="1949" w:type="dxa"/>
            <w:shd w:val="clear" w:color="auto" w:fill="auto"/>
          </w:tcPr>
          <w:p w14:paraId="57D799F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1、向容量管理提供灾难中或恢复阶段的服务容量需求 ， 如人员和资源的配给；</w:t>
            </w:r>
          </w:p>
          <w:p w14:paraId="1E89E30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2、向变更管理提供可用性计划和连续性计划的变更请求；</w:t>
            </w:r>
          </w:p>
          <w:p w14:paraId="2DCC783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、向服务报告管理输出可用性和连续性管理数据</w:t>
            </w:r>
          </w:p>
        </w:tc>
      </w:tr>
      <w:tr w14:paraId="725CC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679CCC6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容量管理</w:t>
            </w:r>
          </w:p>
        </w:tc>
        <w:tc>
          <w:tcPr>
            <w:tcW w:w="1752" w:type="dxa"/>
            <w:shd w:val="clear" w:color="auto" w:fill="auto"/>
          </w:tcPr>
          <w:p w14:paraId="52D0AF9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对业务系统额定容量展开监控和处置，消除客户业务容量风险，确保公司提供的服务满足规 定 的 SLA ，确保客户业务系统的运行满足业务需求</w:t>
            </w:r>
          </w:p>
        </w:tc>
        <w:tc>
          <w:tcPr>
            <w:tcW w:w="1884" w:type="dxa"/>
            <w:shd w:val="clear" w:color="auto" w:fill="auto"/>
          </w:tcPr>
          <w:p w14:paraId="2D493771">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容量事件次数≤2次</w:t>
            </w:r>
          </w:p>
          <w:p w14:paraId="3DAB263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计算方式:由于容量原因发生事件的数量</w:t>
            </w:r>
          </w:p>
          <w:p w14:paraId="185D69D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14:paraId="02072EE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14:paraId="6D20AE9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2、从可用性和连续性管理获得容量需求；</w:t>
            </w:r>
          </w:p>
          <w:p w14:paraId="3AF8A05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3、向配置管理获取相关配置项信息；</w:t>
            </w:r>
          </w:p>
          <w:p w14:paraId="1A836EC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4、从事件管理获取因容量问题引发的事件</w:t>
            </w:r>
          </w:p>
        </w:tc>
        <w:tc>
          <w:tcPr>
            <w:tcW w:w="1949" w:type="dxa"/>
            <w:shd w:val="clear" w:color="auto" w:fill="auto"/>
          </w:tcPr>
          <w:p w14:paraId="079ABA3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、向变更管理提供容量管理变更请求；</w:t>
            </w:r>
          </w:p>
          <w:p w14:paraId="0C1C4F2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 、向服务报告管理输出容量管理数据</w:t>
            </w:r>
          </w:p>
        </w:tc>
      </w:tr>
      <w:tr w14:paraId="489D3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089B831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w:t>
            </w:r>
          </w:p>
          <w:p w14:paraId="44A649C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管理</w:t>
            </w:r>
          </w:p>
        </w:tc>
        <w:tc>
          <w:tcPr>
            <w:tcW w:w="1752" w:type="dxa"/>
            <w:shd w:val="clear" w:color="auto" w:fill="auto"/>
          </w:tcPr>
          <w:p w14:paraId="5EAD08F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通过规范的信息</w:t>
            </w:r>
          </w:p>
          <w:p w14:paraId="2B36C22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安全管理，识别、评估并合理应对运维服务过程中的各类安全风险 ，降低信息安全风险影响</w:t>
            </w:r>
          </w:p>
        </w:tc>
        <w:tc>
          <w:tcPr>
            <w:tcW w:w="1884" w:type="dxa"/>
            <w:shd w:val="clear" w:color="auto" w:fill="auto"/>
          </w:tcPr>
          <w:p w14:paraId="424FB35D">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信息安全事件数量≤1次</w:t>
            </w:r>
          </w:p>
          <w:p w14:paraId="0A51B70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我方人员造成信息安全事件的次数</w:t>
            </w:r>
          </w:p>
          <w:p w14:paraId="6F04ECD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年度</w:t>
            </w:r>
          </w:p>
        </w:tc>
        <w:tc>
          <w:tcPr>
            <w:tcW w:w="1944" w:type="dxa"/>
            <w:shd w:val="clear" w:color="auto" w:fill="auto"/>
          </w:tcPr>
          <w:p w14:paraId="70CFA32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1、从服务级别管理获得关于信息安全管理的服务要求、法律法规和合同义务；</w:t>
            </w:r>
          </w:p>
          <w:p w14:paraId="399B8C6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2、从配置管理获得配置项信息；</w:t>
            </w:r>
          </w:p>
          <w:p w14:paraId="29BB532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3、从变更管理中获得变更请求信息；</w:t>
            </w:r>
          </w:p>
          <w:p w14:paraId="68425E9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4、从事件管理获得信息安全事件信息</w:t>
            </w:r>
          </w:p>
        </w:tc>
        <w:tc>
          <w:tcPr>
            <w:tcW w:w="1949" w:type="dxa"/>
            <w:shd w:val="clear" w:color="auto" w:fill="auto"/>
          </w:tcPr>
          <w:p w14:paraId="67C680B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1、向变更管理提供信息安全风险及其影响的信息；</w:t>
            </w:r>
          </w:p>
          <w:p w14:paraId="422C75E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2、向服务报告管理提供信息安全相关信息。</w:t>
            </w:r>
          </w:p>
        </w:tc>
      </w:tr>
    </w:tbl>
    <w:p w14:paraId="150FE8FD">
      <w:pPr>
        <w:pStyle w:val="27"/>
        <w:keepNext w:val="0"/>
        <w:keepLines w:val="0"/>
        <w:pageBreakBefore w:val="0"/>
        <w:widowControl w:val="0"/>
        <w:kinsoku w:val="0"/>
        <w:wordWrap/>
        <w:overflowPunct/>
        <w:topLinePunct w:val="0"/>
        <w:autoSpaceDE w:val="0"/>
        <w:autoSpaceDN w:val="0"/>
        <w:bidi w:val="0"/>
        <w:adjustRightInd w:val="0"/>
        <w:snapToGrid w:val="0"/>
      </w:pPr>
      <w:bookmarkStart w:id="110" w:name="_Toc24044"/>
      <w:bookmarkStart w:id="111" w:name="_Toc8501"/>
      <w:bookmarkStart w:id="112" w:name="_Toc5328"/>
      <w:r>
        <w:t>交付管理</w:t>
      </w:r>
      <w:bookmarkEnd w:id="110"/>
      <w:bookmarkEnd w:id="111"/>
      <w:bookmarkEnd w:id="112"/>
    </w:p>
    <w:p w14:paraId="05843679">
      <w:pPr>
        <w:pStyle w:val="29"/>
        <w:keepNext w:val="0"/>
        <w:keepLines w:val="0"/>
        <w:pageBreakBefore w:val="0"/>
        <w:widowControl w:val="0"/>
        <w:kinsoku w:val="0"/>
        <w:wordWrap/>
        <w:overflowPunct/>
        <w:topLinePunct w:val="0"/>
        <w:autoSpaceDE w:val="0"/>
        <w:autoSpaceDN w:val="0"/>
        <w:bidi w:val="0"/>
        <w:adjustRightInd w:val="0"/>
        <w:snapToGrid w:val="0"/>
      </w:pPr>
      <w:bookmarkStart w:id="113" w:name="bookmark72"/>
      <w:bookmarkEnd w:id="113"/>
      <w:bookmarkStart w:id="114" w:name="_Toc12694"/>
      <w:bookmarkStart w:id="115" w:name="_Toc4866"/>
      <w:bookmarkStart w:id="116" w:name="_Toc3414"/>
      <w:r>
        <w:t>现状分析</w:t>
      </w:r>
      <w:bookmarkEnd w:id="114"/>
      <w:bookmarkEnd w:id="115"/>
      <w:bookmarkEnd w:id="116"/>
    </w:p>
    <w:p w14:paraId="28D0758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在运维项目交付的规范化管理方面，运维部有一些既有的规范要求，但未形成交付管理体系，在运维交付的策划方面有所欠缺。</w:t>
      </w:r>
    </w:p>
    <w:p w14:paraId="0B62670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另一方面，目前公司各运维项目的交付物（如：现场服务记录、故障分析记录等）存在格式不统一、内容比较混乱、缺少相关审核流程等问题，需要按照ITSS的相关标准进行梳理。</w:t>
      </w:r>
    </w:p>
    <w:p w14:paraId="506BB39F">
      <w:pPr>
        <w:pStyle w:val="29"/>
        <w:keepNext w:val="0"/>
        <w:keepLines w:val="0"/>
        <w:pageBreakBefore w:val="0"/>
        <w:widowControl w:val="0"/>
        <w:kinsoku w:val="0"/>
        <w:wordWrap/>
        <w:overflowPunct/>
        <w:topLinePunct w:val="0"/>
        <w:autoSpaceDE w:val="0"/>
        <w:autoSpaceDN w:val="0"/>
        <w:bidi w:val="0"/>
        <w:adjustRightInd w:val="0"/>
        <w:snapToGrid w:val="0"/>
      </w:pPr>
      <w:bookmarkStart w:id="117" w:name="_Toc3163"/>
      <w:bookmarkStart w:id="118" w:name="_Toc26133"/>
      <w:bookmarkStart w:id="119" w:name="_Toc23139"/>
      <w:r>
        <w:t>改进目标</w:t>
      </w:r>
      <w:bookmarkEnd w:id="117"/>
      <w:bookmarkEnd w:id="118"/>
      <w:bookmarkEnd w:id="119"/>
    </w:p>
    <w:p w14:paraId="178D088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通过ITSS项目的实施，严格执行《运维交付规范》，在运维项目的实施过程中，持续优化、改善运维交付相关的管理过程。</w:t>
      </w:r>
    </w:p>
    <w:p w14:paraId="0E2E0BC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对运维交付物进行规范化、流程化的管理，建立相关KPI指标，提高运维交付工作的专业化水平。</w:t>
      </w:r>
    </w:p>
    <w:p w14:paraId="6BDE432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56A4653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067F8E65">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ascii="宋体" w:hAnsi="宋体" w:eastAsia="宋体" w:cs="宋体"/>
          <w:sz w:val="24"/>
          <w:szCs w:val="24"/>
        </w:rPr>
      </w:pPr>
    </w:p>
    <w:p w14:paraId="6FF1836B">
      <w:pPr>
        <w:pStyle w:val="29"/>
        <w:keepNext w:val="0"/>
        <w:keepLines w:val="0"/>
        <w:pageBreakBefore w:val="0"/>
        <w:widowControl w:val="0"/>
        <w:kinsoku w:val="0"/>
        <w:wordWrap/>
        <w:overflowPunct/>
        <w:topLinePunct w:val="0"/>
        <w:autoSpaceDE w:val="0"/>
        <w:autoSpaceDN w:val="0"/>
        <w:bidi w:val="0"/>
        <w:adjustRightInd w:val="0"/>
        <w:snapToGrid w:val="0"/>
      </w:pPr>
      <w:bookmarkStart w:id="120" w:name="_Toc30021"/>
      <w:bookmarkStart w:id="121" w:name="_Toc11474"/>
      <w:bookmarkStart w:id="122" w:name="_Toc24277"/>
      <w:r>
        <w:t>实施计划</w:t>
      </w:r>
      <w:bookmarkEnd w:id="120"/>
      <w:bookmarkEnd w:id="121"/>
      <w:bookmarkEnd w:id="122"/>
    </w:p>
    <w:tbl>
      <w:tblPr>
        <w:tblStyle w:val="24"/>
        <w:tblW w:w="9539"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002"/>
        <w:gridCol w:w="1678"/>
        <w:gridCol w:w="2177"/>
        <w:gridCol w:w="2682"/>
      </w:tblGrid>
      <w:tr w14:paraId="08765C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3002" w:type="dxa"/>
          </w:tcPr>
          <w:p w14:paraId="0D960A71">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267"/>
              <w:rPr>
                <w:sz w:val="24"/>
                <w:szCs w:val="24"/>
              </w:rPr>
            </w:pPr>
            <w:r>
              <w:rPr>
                <w:b/>
                <w:bCs/>
                <w:spacing w:val="-6"/>
                <w:sz w:val="24"/>
                <w:szCs w:val="24"/>
              </w:rPr>
              <w:t>名称</w:t>
            </w:r>
          </w:p>
        </w:tc>
        <w:tc>
          <w:tcPr>
            <w:tcW w:w="1678" w:type="dxa"/>
          </w:tcPr>
          <w:p w14:paraId="38AB8505">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362"/>
              <w:rPr>
                <w:sz w:val="24"/>
                <w:szCs w:val="24"/>
              </w:rPr>
            </w:pPr>
            <w:r>
              <w:rPr>
                <w:b/>
                <w:bCs/>
                <w:spacing w:val="-5"/>
                <w:sz w:val="24"/>
                <w:szCs w:val="24"/>
              </w:rPr>
              <w:t>计划工期</w:t>
            </w:r>
          </w:p>
        </w:tc>
        <w:tc>
          <w:tcPr>
            <w:tcW w:w="2177" w:type="dxa"/>
            <w:tcBorders>
              <w:bottom w:val="single" w:color="auto" w:sz="4" w:space="0"/>
            </w:tcBorders>
          </w:tcPr>
          <w:p w14:paraId="17A71BB3">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623"/>
              <w:rPr>
                <w:sz w:val="24"/>
                <w:szCs w:val="24"/>
              </w:rPr>
            </w:pPr>
            <w:r>
              <w:rPr>
                <w:b/>
                <w:bCs/>
                <w:spacing w:val="-7"/>
                <w:sz w:val="24"/>
                <w:szCs w:val="24"/>
              </w:rPr>
              <w:t>负责部门</w:t>
            </w:r>
          </w:p>
        </w:tc>
        <w:tc>
          <w:tcPr>
            <w:tcW w:w="2682" w:type="dxa"/>
          </w:tcPr>
          <w:p w14:paraId="32DC540C">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989"/>
              <w:rPr>
                <w:sz w:val="24"/>
                <w:szCs w:val="24"/>
              </w:rPr>
            </w:pPr>
            <w:r>
              <w:rPr>
                <w:b/>
                <w:bCs/>
                <w:spacing w:val="-6"/>
                <w:sz w:val="24"/>
                <w:szCs w:val="24"/>
              </w:rPr>
              <w:t>成果物</w:t>
            </w:r>
          </w:p>
        </w:tc>
      </w:tr>
      <w:tr w14:paraId="20568A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3" w:hRule="atLeast"/>
        </w:trPr>
        <w:tc>
          <w:tcPr>
            <w:tcW w:w="3002" w:type="dxa"/>
          </w:tcPr>
          <w:p w14:paraId="4AA72B2E">
            <w:pPr>
              <w:pStyle w:val="25"/>
              <w:keepNext w:val="0"/>
              <w:keepLines w:val="0"/>
              <w:pageBreakBefore w:val="0"/>
              <w:widowControl w:val="0"/>
              <w:kinsoku w:val="0"/>
              <w:wordWrap/>
              <w:overflowPunct/>
              <w:topLinePunct w:val="0"/>
              <w:autoSpaceDE w:val="0"/>
              <w:autoSpaceDN w:val="0"/>
              <w:bidi w:val="0"/>
              <w:adjustRightInd w:val="0"/>
              <w:snapToGrid w:val="0"/>
              <w:spacing w:before="123" w:line="341" w:lineRule="auto"/>
              <w:ind w:left="113" w:right="43"/>
              <w:jc w:val="both"/>
              <w:rPr>
                <w:sz w:val="24"/>
                <w:szCs w:val="24"/>
              </w:rPr>
            </w:pPr>
            <w:r>
              <w:rPr>
                <w:spacing w:val="-4"/>
                <w:sz w:val="24"/>
                <w:szCs w:val="24"/>
              </w:rPr>
              <w:t>严格执行交付，持续优化、</w:t>
            </w:r>
            <w:r>
              <w:rPr>
                <w:spacing w:val="-1"/>
                <w:sz w:val="24"/>
                <w:szCs w:val="24"/>
              </w:rPr>
              <w:t>改善运维交付相关的管理</w:t>
            </w:r>
            <w:r>
              <w:rPr>
                <w:spacing w:val="-3"/>
                <w:sz w:val="24"/>
                <w:szCs w:val="24"/>
              </w:rPr>
              <w:t>过程</w:t>
            </w:r>
          </w:p>
        </w:tc>
        <w:tc>
          <w:tcPr>
            <w:tcW w:w="1678" w:type="dxa"/>
            <w:tcBorders>
              <w:right w:val="single" w:color="auto" w:sz="4" w:space="0"/>
            </w:tcBorders>
          </w:tcPr>
          <w:p w14:paraId="7DA9FD97">
            <w:pPr>
              <w:keepNext w:val="0"/>
              <w:keepLines w:val="0"/>
              <w:pageBreakBefore w:val="0"/>
              <w:widowControl w:val="0"/>
              <w:kinsoku w:val="0"/>
              <w:wordWrap/>
              <w:overflowPunct/>
              <w:topLinePunct w:val="0"/>
              <w:autoSpaceDE w:val="0"/>
              <w:autoSpaceDN w:val="0"/>
              <w:bidi w:val="0"/>
              <w:adjustRightInd w:val="0"/>
              <w:snapToGrid w:val="0"/>
              <w:spacing w:line="264" w:lineRule="auto"/>
              <w:rPr>
                <w:rFonts w:ascii="Arial"/>
                <w:sz w:val="21"/>
              </w:rPr>
            </w:pPr>
          </w:p>
          <w:p w14:paraId="1F88AE68">
            <w:pPr>
              <w:keepNext w:val="0"/>
              <w:keepLines w:val="0"/>
              <w:pageBreakBefore w:val="0"/>
              <w:widowControl w:val="0"/>
              <w:kinsoku w:val="0"/>
              <w:wordWrap/>
              <w:overflowPunct/>
              <w:topLinePunct w:val="0"/>
              <w:autoSpaceDE w:val="0"/>
              <w:autoSpaceDN w:val="0"/>
              <w:bidi w:val="0"/>
              <w:adjustRightInd w:val="0"/>
              <w:snapToGrid w:val="0"/>
              <w:spacing w:line="265" w:lineRule="auto"/>
              <w:rPr>
                <w:rFonts w:ascii="Arial"/>
                <w:sz w:val="21"/>
              </w:rPr>
            </w:pPr>
          </w:p>
          <w:p w14:paraId="4664B326">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602"/>
              <w:rPr>
                <w:sz w:val="24"/>
                <w:szCs w:val="24"/>
              </w:rPr>
            </w:pPr>
            <w:r>
              <w:rPr>
                <w:spacing w:val="-3"/>
                <w:sz w:val="24"/>
                <w:szCs w:val="24"/>
              </w:rPr>
              <w:t>全年</w:t>
            </w:r>
          </w:p>
        </w:tc>
        <w:tc>
          <w:tcPr>
            <w:tcW w:w="2177" w:type="dxa"/>
            <w:vMerge w:val="restart"/>
            <w:tcBorders>
              <w:top w:val="single" w:color="auto" w:sz="4" w:space="0"/>
              <w:left w:val="single" w:color="auto" w:sz="4" w:space="0"/>
              <w:bottom w:val="single" w:color="auto" w:sz="4" w:space="0"/>
              <w:right w:val="single" w:color="auto" w:sz="4" w:space="0"/>
            </w:tcBorders>
          </w:tcPr>
          <w:p w14:paraId="4B949B4B">
            <w:pPr>
              <w:keepNext w:val="0"/>
              <w:keepLines w:val="0"/>
              <w:pageBreakBefore w:val="0"/>
              <w:widowControl w:val="0"/>
              <w:kinsoku w:val="0"/>
              <w:wordWrap/>
              <w:overflowPunct/>
              <w:topLinePunct w:val="0"/>
              <w:autoSpaceDE w:val="0"/>
              <w:autoSpaceDN w:val="0"/>
              <w:bidi w:val="0"/>
              <w:adjustRightInd w:val="0"/>
              <w:snapToGrid w:val="0"/>
              <w:spacing w:line="251" w:lineRule="auto"/>
              <w:rPr>
                <w:rFonts w:ascii="Arial"/>
                <w:sz w:val="21"/>
              </w:rPr>
            </w:pPr>
          </w:p>
          <w:p w14:paraId="544583F6">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14:paraId="0B2BF671">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14:paraId="46FBA2C3">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94"/>
              <w:rPr>
                <w:sz w:val="24"/>
                <w:szCs w:val="24"/>
              </w:rPr>
            </w:pPr>
            <w:r>
              <w:rPr>
                <w:spacing w:val="-2"/>
                <w:sz w:val="24"/>
                <w:szCs w:val="24"/>
              </w:rPr>
              <w:t>运维部</w:t>
            </w:r>
          </w:p>
        </w:tc>
        <w:tc>
          <w:tcPr>
            <w:tcW w:w="2682" w:type="dxa"/>
            <w:tcBorders>
              <w:left w:val="single" w:color="auto" w:sz="4" w:space="0"/>
            </w:tcBorders>
          </w:tcPr>
          <w:p w14:paraId="28C27BC1">
            <w:pPr>
              <w:keepNext w:val="0"/>
              <w:keepLines w:val="0"/>
              <w:pageBreakBefore w:val="0"/>
              <w:widowControl w:val="0"/>
              <w:kinsoku w:val="0"/>
              <w:wordWrap/>
              <w:overflowPunct/>
              <w:topLinePunct w:val="0"/>
              <w:autoSpaceDE w:val="0"/>
              <w:autoSpaceDN w:val="0"/>
              <w:bidi w:val="0"/>
              <w:adjustRightInd w:val="0"/>
              <w:snapToGrid w:val="0"/>
              <w:spacing w:line="286" w:lineRule="auto"/>
              <w:rPr>
                <w:rFonts w:ascii="Arial"/>
                <w:sz w:val="21"/>
              </w:rPr>
            </w:pPr>
          </w:p>
          <w:p w14:paraId="0BDDFBD5">
            <w:pPr>
              <w:pStyle w:val="25"/>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6"/>
              <w:rPr>
                <w:rFonts w:hint="default" w:eastAsia="宋体"/>
                <w:sz w:val="24"/>
                <w:szCs w:val="24"/>
                <w:lang w:val="en-US" w:eastAsia="zh-CN"/>
              </w:rPr>
            </w:pPr>
            <w:r>
              <w:rPr>
                <w:rFonts w:hint="eastAsia"/>
                <w:sz w:val="24"/>
                <w:szCs w:val="24"/>
                <w:lang w:val="en-US" w:eastAsia="zh-CN"/>
              </w:rPr>
              <w:t>《运维服务交付规范》</w:t>
            </w:r>
          </w:p>
        </w:tc>
      </w:tr>
      <w:tr w14:paraId="44865D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6" w:hRule="atLeast"/>
        </w:trPr>
        <w:tc>
          <w:tcPr>
            <w:tcW w:w="3002" w:type="dxa"/>
          </w:tcPr>
          <w:p w14:paraId="3E10B4ED">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1" w:right="249" w:firstLine="2"/>
              <w:rPr>
                <w:sz w:val="24"/>
                <w:szCs w:val="24"/>
              </w:rPr>
            </w:pPr>
            <w:r>
              <w:rPr>
                <w:spacing w:val="-2"/>
                <w:sz w:val="24"/>
                <w:szCs w:val="24"/>
              </w:rPr>
              <w:t>编制运维项目交付服务计</w:t>
            </w:r>
            <w:r>
              <w:rPr>
                <w:sz w:val="24"/>
                <w:szCs w:val="24"/>
              </w:rPr>
              <w:t>划</w:t>
            </w:r>
          </w:p>
        </w:tc>
        <w:tc>
          <w:tcPr>
            <w:tcW w:w="1678" w:type="dxa"/>
            <w:tcBorders>
              <w:right w:val="single" w:color="auto" w:sz="4" w:space="0"/>
            </w:tcBorders>
          </w:tcPr>
          <w:p w14:paraId="726B036F">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482" w:right="115" w:hanging="356"/>
              <w:rPr>
                <w:sz w:val="24"/>
                <w:szCs w:val="24"/>
              </w:rPr>
            </w:pPr>
            <w:r>
              <w:rPr>
                <w:spacing w:val="-3"/>
                <w:sz w:val="24"/>
                <w:szCs w:val="24"/>
              </w:rPr>
              <w:t>项目开始约半个月前</w:t>
            </w:r>
          </w:p>
        </w:tc>
        <w:tc>
          <w:tcPr>
            <w:tcW w:w="2177" w:type="dxa"/>
            <w:vMerge w:val="continue"/>
            <w:tcBorders>
              <w:top w:val="single" w:color="auto" w:sz="4" w:space="0"/>
              <w:left w:val="single" w:color="auto" w:sz="4" w:space="0"/>
              <w:bottom w:val="single" w:color="auto" w:sz="4" w:space="0"/>
              <w:right w:val="single" w:color="auto" w:sz="4" w:space="0"/>
            </w:tcBorders>
          </w:tcPr>
          <w:p w14:paraId="650A6ABE">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682" w:type="dxa"/>
            <w:tcBorders>
              <w:left w:val="single" w:color="auto" w:sz="4" w:space="0"/>
            </w:tcBorders>
          </w:tcPr>
          <w:p w14:paraId="45E7D0CC">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4" w:right="166" w:firstLine="1"/>
              <w:rPr>
                <w:rFonts w:hint="eastAsia"/>
                <w:sz w:val="24"/>
                <w:szCs w:val="24"/>
                <w:lang w:val="en-US" w:eastAsia="zh-CN"/>
              </w:rPr>
            </w:pPr>
            <w:r>
              <w:rPr>
                <w:rFonts w:hint="eastAsia"/>
                <w:sz w:val="24"/>
                <w:szCs w:val="24"/>
                <w:lang w:val="en-US" w:eastAsia="zh-CN"/>
              </w:rPr>
              <w:t>《项目运维实施方案》</w:t>
            </w:r>
          </w:p>
        </w:tc>
      </w:tr>
    </w:tbl>
    <w:p w14:paraId="10CDE40A">
      <w:pPr>
        <w:pStyle w:val="27"/>
        <w:keepNext w:val="0"/>
        <w:keepLines w:val="0"/>
        <w:pageBreakBefore w:val="0"/>
        <w:widowControl w:val="0"/>
        <w:kinsoku w:val="0"/>
        <w:wordWrap/>
        <w:overflowPunct/>
        <w:topLinePunct w:val="0"/>
        <w:autoSpaceDE w:val="0"/>
        <w:autoSpaceDN w:val="0"/>
        <w:bidi w:val="0"/>
        <w:adjustRightInd w:val="0"/>
        <w:snapToGrid w:val="0"/>
      </w:pPr>
      <w:bookmarkStart w:id="123" w:name="bookmark55"/>
      <w:bookmarkEnd w:id="123"/>
      <w:bookmarkStart w:id="124" w:name="_Toc14360"/>
      <w:bookmarkStart w:id="125" w:name="_Toc5088"/>
      <w:bookmarkStart w:id="126" w:name="_Toc8292"/>
      <w:r>
        <w:t>应急响应</w:t>
      </w:r>
      <w:bookmarkEnd w:id="124"/>
      <w:bookmarkEnd w:id="125"/>
      <w:bookmarkEnd w:id="126"/>
    </w:p>
    <w:p w14:paraId="7707BDB0">
      <w:pPr>
        <w:pStyle w:val="29"/>
        <w:keepNext w:val="0"/>
        <w:keepLines w:val="0"/>
        <w:pageBreakBefore w:val="0"/>
        <w:widowControl w:val="0"/>
        <w:kinsoku w:val="0"/>
        <w:wordWrap/>
        <w:overflowPunct/>
        <w:topLinePunct w:val="0"/>
        <w:autoSpaceDE w:val="0"/>
        <w:autoSpaceDN w:val="0"/>
        <w:bidi w:val="0"/>
        <w:adjustRightInd w:val="0"/>
        <w:snapToGrid w:val="0"/>
      </w:pPr>
      <w:bookmarkStart w:id="127" w:name="bookmark73"/>
      <w:bookmarkEnd w:id="127"/>
      <w:bookmarkStart w:id="128" w:name="_Toc13591"/>
      <w:bookmarkStart w:id="129" w:name="_Toc16790"/>
      <w:bookmarkStart w:id="130" w:name="_Toc31220"/>
      <w:r>
        <w:t>现状分析</w:t>
      </w:r>
      <w:bookmarkEnd w:id="128"/>
      <w:bookmarkEnd w:id="129"/>
      <w:bookmarkEnd w:id="130"/>
    </w:p>
    <w:p w14:paraId="392B0BD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公司坚持以预防为主、日常响应处理相结合的策略，把应对突发事件的各项工作落实在日常管理之中，加强基础工作，提高防范意识，将预防与应急处置有机结合起来，做好预防、预测、预警工作，加强系统巡视，定期安全检查，及时发现处理系统缺陷，有效防止发生系统瘫痪；组织开展事故演习，提高对突发事件处理和恢复运行的能力。</w:t>
      </w:r>
    </w:p>
    <w:p w14:paraId="1FE03C7A">
      <w:pPr>
        <w:pStyle w:val="29"/>
        <w:keepNext w:val="0"/>
        <w:keepLines w:val="0"/>
        <w:pageBreakBefore w:val="0"/>
        <w:widowControl w:val="0"/>
        <w:kinsoku w:val="0"/>
        <w:wordWrap/>
        <w:overflowPunct/>
        <w:topLinePunct w:val="0"/>
        <w:autoSpaceDE w:val="0"/>
        <w:autoSpaceDN w:val="0"/>
        <w:bidi w:val="0"/>
        <w:adjustRightInd w:val="0"/>
        <w:snapToGrid w:val="0"/>
      </w:pPr>
      <w:bookmarkStart w:id="131" w:name="bookmark56"/>
      <w:bookmarkEnd w:id="131"/>
      <w:bookmarkStart w:id="132" w:name="_Toc30137"/>
      <w:bookmarkStart w:id="133" w:name="_Toc3880"/>
      <w:bookmarkStart w:id="134" w:name="_Toc12731"/>
      <w:r>
        <w:t>改进目标</w:t>
      </w:r>
      <w:bookmarkEnd w:id="132"/>
      <w:bookmarkEnd w:id="133"/>
      <w:bookmarkEnd w:id="134"/>
    </w:p>
    <w:p w14:paraId="4CDA675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eastAsia="zh-CN"/>
        </w:rPr>
      </w:pPr>
      <w:r>
        <w:rPr>
          <w:rFonts w:ascii="宋体" w:hAnsi="宋体" w:eastAsia="宋体" w:cs="宋体"/>
          <w:sz w:val="24"/>
          <w:szCs w:val="24"/>
        </w:rPr>
        <w:t>运维部负责在2025年</w:t>
      </w:r>
      <w:r>
        <w:rPr>
          <w:rFonts w:hint="eastAsia" w:ascii="宋体" w:hAnsi="宋体" w:cs="宋体"/>
          <w:sz w:val="24"/>
          <w:szCs w:val="24"/>
          <w:lang w:val="en-US" w:eastAsia="zh-CN"/>
        </w:rPr>
        <w:t>4</w:t>
      </w:r>
      <w:r>
        <w:rPr>
          <w:rFonts w:ascii="宋体" w:hAnsi="宋体" w:eastAsia="宋体" w:cs="宋体"/>
          <w:sz w:val="24"/>
          <w:szCs w:val="24"/>
        </w:rPr>
        <w:t>月将运维应急管理相关制度，并宣贯到各个项目。所有运维工程师熟悉并严格执行应急响应规范，在岗及储备的运维负责人负责应急响应规范的监控和统计分析</w:t>
      </w:r>
      <w:r>
        <w:rPr>
          <w:rFonts w:hint="eastAsia" w:ascii="宋体" w:hAnsi="宋体" w:cs="宋体"/>
          <w:sz w:val="24"/>
          <w:szCs w:val="24"/>
          <w:lang w:eastAsia="zh-CN"/>
        </w:rPr>
        <w:t>。</w:t>
      </w:r>
    </w:p>
    <w:p w14:paraId="038DCAB6">
      <w:pPr>
        <w:pStyle w:val="29"/>
        <w:keepNext w:val="0"/>
        <w:keepLines w:val="0"/>
        <w:pageBreakBefore w:val="0"/>
        <w:widowControl w:val="0"/>
        <w:kinsoku w:val="0"/>
        <w:wordWrap/>
        <w:overflowPunct/>
        <w:topLinePunct w:val="0"/>
        <w:autoSpaceDE w:val="0"/>
        <w:autoSpaceDN w:val="0"/>
        <w:bidi w:val="0"/>
        <w:adjustRightInd w:val="0"/>
        <w:snapToGrid w:val="0"/>
      </w:pPr>
      <w:bookmarkStart w:id="135" w:name="bookmark57"/>
      <w:bookmarkEnd w:id="135"/>
      <w:bookmarkStart w:id="136" w:name="_Toc4273"/>
      <w:bookmarkStart w:id="137" w:name="_Toc2180"/>
      <w:r>
        <w:t xml:space="preserve"> </w:t>
      </w:r>
      <w:bookmarkStart w:id="138" w:name="_Toc8052"/>
      <w:r>
        <w:t>实施计划</w:t>
      </w:r>
      <w:bookmarkEnd w:id="136"/>
      <w:bookmarkEnd w:id="137"/>
      <w:bookmarkEnd w:id="138"/>
    </w:p>
    <w:tbl>
      <w:tblPr>
        <w:tblStyle w:val="21"/>
        <w:tblW w:w="8522" w:type="dxa"/>
        <w:tblInd w:w="-81"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4027"/>
        <w:gridCol w:w="1398"/>
        <w:gridCol w:w="1716"/>
        <w:gridCol w:w="1381"/>
      </w:tblGrid>
      <w:tr w14:paraId="544B417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trPr>
        <w:tc>
          <w:tcPr>
            <w:tcW w:w="4027" w:type="dxa"/>
            <w:tcBorders>
              <w:top w:val="single" w:color="auto" w:sz="12" w:space="0"/>
              <w:left w:val="single" w:color="auto" w:sz="12" w:space="0"/>
              <w:bottom w:val="nil"/>
              <w:right w:val="nil"/>
            </w:tcBorders>
            <w:shd w:val="clear" w:color="auto" w:fill="auto"/>
            <w:noWrap w:val="0"/>
            <w:tcMar>
              <w:top w:w="-1" w:type="dxa"/>
              <w:left w:w="-1" w:type="dxa"/>
              <w:bottom w:w="-1" w:type="dxa"/>
              <w:right w:w="-1" w:type="dxa"/>
            </w:tcMar>
            <w:vAlign w:val="center"/>
          </w:tcPr>
          <w:p w14:paraId="4334CFC6">
            <w:pPr>
              <w:pStyle w:val="25"/>
              <w:keepNext w:val="0"/>
              <w:keepLines w:val="0"/>
              <w:pageBreakBefore w:val="0"/>
              <w:widowControl w:val="0"/>
              <w:kinsoku w:val="0"/>
              <w:wordWrap/>
              <w:overflowPunct/>
              <w:topLinePunct w:val="0"/>
              <w:autoSpaceDE w:val="0"/>
              <w:autoSpaceDN w:val="0"/>
              <w:bidi w:val="0"/>
              <w:adjustRightInd w:val="0"/>
              <w:snapToGrid w:val="0"/>
              <w:spacing w:before="125" w:line="240" w:lineRule="auto"/>
              <w:ind w:left="0" w:leftChars="0" w:right="0" w:rightChars="0" w:firstLine="0" w:firstLineChars="0"/>
              <w:jc w:val="center"/>
              <w:rPr>
                <w:rFonts w:ascii="宋体" w:hAnsi="宋体" w:eastAsia="宋体" w:cs="宋体"/>
                <w:b/>
                <w:snapToGrid w:val="0"/>
                <w:color w:val="000000"/>
                <w:kern w:val="0"/>
                <w:sz w:val="24"/>
                <w:szCs w:val="24"/>
                <w:lang w:val="en-US" w:eastAsia="en-US" w:bidi="ar-SA"/>
              </w:rPr>
            </w:pPr>
            <w:bookmarkStart w:id="139" w:name="bookmark58"/>
            <w:bookmarkEnd w:id="139"/>
            <w:bookmarkStart w:id="140" w:name="bookmark59"/>
            <w:bookmarkEnd w:id="140"/>
            <w:bookmarkStart w:id="141" w:name="_Toc21932"/>
            <w:bookmarkStart w:id="142" w:name="_Toc3108"/>
            <w:r>
              <w:rPr>
                <w:b/>
                <w:bCs/>
                <w:spacing w:val="-6"/>
                <w:sz w:val="24"/>
                <w:szCs w:val="24"/>
              </w:rPr>
              <w:t>名称</w:t>
            </w:r>
          </w:p>
        </w:tc>
        <w:tc>
          <w:tcPr>
            <w:tcW w:w="0" w:type="auto"/>
            <w:tcBorders>
              <w:top w:val="single" w:color="auto" w:sz="12" w:space="0"/>
              <w:left w:val="single" w:color="auto" w:sz="4" w:space="0"/>
              <w:bottom w:val="single" w:color="auto" w:sz="4" w:space="0"/>
              <w:right w:val="nil"/>
            </w:tcBorders>
            <w:shd w:val="clear" w:color="auto" w:fill="auto"/>
            <w:noWrap w:val="0"/>
            <w:tcMar>
              <w:top w:w="-1" w:type="dxa"/>
              <w:left w:w="-1" w:type="dxa"/>
              <w:bottom w:w="-1" w:type="dxa"/>
              <w:right w:w="-1" w:type="dxa"/>
            </w:tcMar>
            <w:vAlign w:val="center"/>
          </w:tcPr>
          <w:p w14:paraId="4ECE2968">
            <w:pPr>
              <w:pStyle w:val="25"/>
              <w:keepNext w:val="0"/>
              <w:keepLines w:val="0"/>
              <w:pageBreakBefore w:val="0"/>
              <w:widowControl w:val="0"/>
              <w:kinsoku w:val="0"/>
              <w:wordWrap/>
              <w:overflowPunct/>
              <w:topLinePunct w:val="0"/>
              <w:autoSpaceDE w:val="0"/>
              <w:autoSpaceDN w:val="0"/>
              <w:bidi w:val="0"/>
              <w:adjustRightInd w:val="0"/>
              <w:snapToGrid w:val="0"/>
              <w:spacing w:before="126" w:line="240" w:lineRule="auto"/>
              <w:ind w:left="0" w:leftChars="0" w:right="0" w:rightChars="0" w:firstLine="0" w:firstLineChars="0"/>
              <w:jc w:val="center"/>
              <w:rPr>
                <w:rFonts w:ascii="宋体" w:hAnsi="宋体" w:eastAsia="宋体" w:cs="宋体"/>
                <w:b/>
                <w:snapToGrid w:val="0"/>
                <w:color w:val="000000"/>
                <w:kern w:val="0"/>
                <w:sz w:val="24"/>
                <w:szCs w:val="24"/>
                <w:lang w:val="en-US" w:eastAsia="en-US" w:bidi="ar-SA"/>
              </w:rPr>
            </w:pPr>
            <w:r>
              <w:rPr>
                <w:b/>
                <w:bCs/>
                <w:spacing w:val="-5"/>
                <w:sz w:val="24"/>
                <w:szCs w:val="24"/>
              </w:rPr>
              <w:t>计划工期</w:t>
            </w:r>
          </w:p>
        </w:tc>
        <w:tc>
          <w:tcPr>
            <w:tcW w:w="0" w:type="auto"/>
            <w:tcBorders>
              <w:top w:val="single" w:color="auto" w:sz="12" w:space="0"/>
              <w:left w:val="single" w:color="auto" w:sz="4" w:space="0"/>
              <w:bottom w:val="single" w:color="auto" w:sz="4" w:space="0"/>
              <w:right w:val="nil"/>
            </w:tcBorders>
            <w:shd w:val="clear" w:color="auto" w:fill="auto"/>
            <w:noWrap w:val="0"/>
            <w:tcMar>
              <w:top w:w="-1" w:type="dxa"/>
              <w:left w:w="-1" w:type="dxa"/>
              <w:bottom w:w="-1" w:type="dxa"/>
              <w:right w:w="-1" w:type="dxa"/>
            </w:tcMar>
            <w:vAlign w:val="center"/>
          </w:tcPr>
          <w:p w14:paraId="320E05AE">
            <w:pPr>
              <w:pStyle w:val="25"/>
              <w:keepNext w:val="0"/>
              <w:keepLines w:val="0"/>
              <w:pageBreakBefore w:val="0"/>
              <w:widowControl w:val="0"/>
              <w:kinsoku w:val="0"/>
              <w:wordWrap/>
              <w:overflowPunct/>
              <w:topLinePunct w:val="0"/>
              <w:autoSpaceDE w:val="0"/>
              <w:autoSpaceDN w:val="0"/>
              <w:bidi w:val="0"/>
              <w:adjustRightInd w:val="0"/>
              <w:snapToGrid w:val="0"/>
              <w:spacing w:before="125" w:line="240" w:lineRule="auto"/>
              <w:ind w:left="0" w:leftChars="0" w:right="0" w:rightChars="0" w:firstLine="0" w:firstLineChars="0"/>
              <w:jc w:val="center"/>
              <w:rPr>
                <w:rFonts w:ascii="宋体" w:hAnsi="宋体" w:eastAsia="宋体" w:cs="宋体"/>
                <w:b/>
                <w:snapToGrid w:val="0"/>
                <w:color w:val="000000"/>
                <w:kern w:val="0"/>
                <w:sz w:val="24"/>
                <w:szCs w:val="24"/>
                <w:lang w:val="en-US" w:eastAsia="en-US" w:bidi="ar-SA"/>
              </w:rPr>
            </w:pPr>
            <w:r>
              <w:rPr>
                <w:rFonts w:hint="eastAsia"/>
                <w:b/>
                <w:bCs/>
                <w:spacing w:val="-7"/>
                <w:sz w:val="24"/>
                <w:szCs w:val="24"/>
                <w:lang w:val="en-US" w:eastAsia="zh-CN"/>
              </w:rPr>
              <w:t>相关</w:t>
            </w:r>
            <w:r>
              <w:rPr>
                <w:b/>
                <w:bCs/>
                <w:spacing w:val="-7"/>
                <w:sz w:val="24"/>
                <w:szCs w:val="24"/>
              </w:rPr>
              <w:t>部门</w:t>
            </w:r>
          </w:p>
        </w:tc>
        <w:tc>
          <w:tcPr>
            <w:tcW w:w="1381" w:type="dxa"/>
            <w:tcBorders>
              <w:top w:val="single" w:color="auto" w:sz="12"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3D78671D">
            <w:pPr>
              <w:pStyle w:val="25"/>
              <w:keepNext w:val="0"/>
              <w:keepLines w:val="0"/>
              <w:pageBreakBefore w:val="0"/>
              <w:widowControl w:val="0"/>
              <w:kinsoku w:val="0"/>
              <w:wordWrap/>
              <w:overflowPunct/>
              <w:topLinePunct w:val="0"/>
              <w:autoSpaceDE w:val="0"/>
              <w:autoSpaceDN w:val="0"/>
              <w:bidi w:val="0"/>
              <w:adjustRightInd w:val="0"/>
              <w:snapToGrid w:val="0"/>
              <w:spacing w:before="126" w:line="240" w:lineRule="auto"/>
              <w:ind w:left="0" w:leftChars="0" w:right="0" w:rightChars="0" w:firstLine="0" w:firstLineChars="0"/>
              <w:jc w:val="center"/>
              <w:rPr>
                <w:rFonts w:ascii="宋体" w:hAnsi="宋体" w:eastAsia="宋体" w:cs="宋体"/>
                <w:b/>
                <w:snapToGrid w:val="0"/>
                <w:color w:val="000000"/>
                <w:kern w:val="0"/>
                <w:sz w:val="24"/>
                <w:szCs w:val="24"/>
                <w:lang w:val="en-US" w:eastAsia="en-US" w:bidi="ar-SA"/>
              </w:rPr>
            </w:pPr>
            <w:r>
              <w:rPr>
                <w:b/>
                <w:bCs/>
                <w:spacing w:val="-6"/>
                <w:sz w:val="24"/>
                <w:szCs w:val="24"/>
              </w:rPr>
              <w:t>成果物</w:t>
            </w:r>
          </w:p>
        </w:tc>
      </w:tr>
      <w:tr w14:paraId="16CB1A8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4027" w:type="dxa"/>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79E2B7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ascii="Arial" w:eastAsia="宋体"/>
                <w:sz w:val="24"/>
                <w:vertAlign w:val="baseline"/>
              </w:rPr>
            </w:pPr>
            <w:r>
              <w:rPr>
                <w:rFonts w:ascii="Arial" w:eastAsia="宋体"/>
                <w:spacing w:val="-1"/>
                <w:sz w:val="24"/>
                <w:szCs w:val="24"/>
              </w:rPr>
              <w:t>将应急响应服务规范贯彻执行，并持续改进运维服务过程中的应急响应管理</w:t>
            </w:r>
          </w:p>
        </w:tc>
        <w:tc>
          <w:tcPr>
            <w:tcW w:w="0" w:type="auto"/>
            <w:tcBorders>
              <w:top w:val="single" w:color="auto" w:sz="4" w:space="0"/>
              <w:left w:val="single" w:color="auto" w:sz="4" w:space="0"/>
              <w:bottom w:val="single" w:color="auto" w:sz="4" w:space="0"/>
              <w:right w:val="nil"/>
            </w:tcBorders>
            <w:noWrap w:val="0"/>
            <w:tcMar>
              <w:top w:w="-1" w:type="dxa"/>
              <w:left w:w="-1" w:type="dxa"/>
              <w:bottom w:w="-1" w:type="dxa"/>
              <w:right w:w="-1" w:type="dxa"/>
            </w:tcMar>
            <w:vAlign w:val="center"/>
          </w:tcPr>
          <w:p w14:paraId="11EEDC0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ascii="Arial" w:eastAsia="宋体"/>
                <w:sz w:val="24"/>
                <w:vertAlign w:val="baseline"/>
              </w:rPr>
            </w:pPr>
            <w:r>
              <w:rPr>
                <w:rFonts w:ascii="Arial" w:eastAsia="宋体"/>
                <w:spacing w:val="-3"/>
                <w:sz w:val="24"/>
                <w:szCs w:val="24"/>
              </w:rPr>
              <w:t>全年</w:t>
            </w:r>
          </w:p>
        </w:tc>
        <w:tc>
          <w:tcPr>
            <w:tcW w:w="0" w:type="auto"/>
            <w:vMerge w:val="restart"/>
            <w:tcBorders>
              <w:top w:val="single" w:color="auto" w:sz="4" w:space="0"/>
              <w:left w:val="single" w:color="auto" w:sz="4" w:space="0"/>
              <w:bottom w:val="single" w:color="auto" w:sz="4" w:space="0"/>
              <w:right w:val="single" w:color="auto" w:sz="4" w:space="0"/>
            </w:tcBorders>
            <w:noWrap w:val="0"/>
            <w:tcMar>
              <w:top w:w="-1" w:type="dxa"/>
              <w:left w:w="-1" w:type="dxa"/>
              <w:bottom w:w="-1" w:type="dxa"/>
              <w:right w:w="-1" w:type="dxa"/>
            </w:tcMar>
            <w:vAlign w:val="center"/>
          </w:tcPr>
          <w:p w14:paraId="609971A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应急管理小组</w:t>
            </w:r>
          </w:p>
          <w:p w14:paraId="3A2C9E7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研发部</w:t>
            </w:r>
          </w:p>
          <w:p w14:paraId="3ECB5D5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运维部</w:t>
            </w:r>
          </w:p>
          <w:p w14:paraId="61AB25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质量部</w:t>
            </w:r>
          </w:p>
        </w:tc>
        <w:tc>
          <w:tcPr>
            <w:tcW w:w="1381"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428E879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《应急保障制度》</w:t>
            </w:r>
          </w:p>
        </w:tc>
      </w:tr>
      <w:tr w14:paraId="42609F6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4027" w:type="dxa"/>
            <w:tcBorders>
              <w:top w:val="single" w:color="auto" w:sz="4" w:space="0"/>
              <w:left w:val="single" w:color="auto" w:sz="12" w:space="0"/>
              <w:bottom w:val="single" w:color="auto" w:sz="12" w:space="0"/>
              <w:right w:val="nil"/>
            </w:tcBorders>
            <w:noWrap w:val="0"/>
            <w:tcMar>
              <w:top w:w="-1" w:type="dxa"/>
              <w:left w:w="-1" w:type="dxa"/>
              <w:bottom w:w="-1" w:type="dxa"/>
              <w:right w:w="-1" w:type="dxa"/>
            </w:tcMar>
            <w:vAlign w:val="center"/>
          </w:tcPr>
          <w:p w14:paraId="23420E4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ascii="Arial" w:eastAsia="宋体"/>
                <w:sz w:val="24"/>
                <w:vertAlign w:val="baseline"/>
              </w:rPr>
            </w:pPr>
            <w:r>
              <w:rPr>
                <w:rFonts w:ascii="Arial" w:eastAsia="宋体"/>
                <w:spacing w:val="-1"/>
                <w:sz w:val="24"/>
                <w:szCs w:val="24"/>
              </w:rPr>
              <w:t>应急响应规范与应急预案培</w:t>
            </w:r>
            <w:r>
              <w:rPr>
                <w:rFonts w:ascii="Arial" w:eastAsia="宋体"/>
                <w:sz w:val="24"/>
                <w:szCs w:val="24"/>
              </w:rPr>
              <w:t>训</w:t>
            </w:r>
          </w:p>
        </w:tc>
        <w:tc>
          <w:tcPr>
            <w:tcW w:w="1398" w:type="dxa"/>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506FC3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2025年4月</w:t>
            </w:r>
          </w:p>
        </w:tc>
        <w:tc>
          <w:tcPr>
            <w:tcW w:w="1716" w:type="dxa"/>
            <w:vMerge w:val="continue"/>
            <w:tcBorders>
              <w:top w:val="single" w:color="auto" w:sz="4" w:space="0"/>
              <w:right w:val="single" w:color="auto" w:sz="4" w:space="0"/>
            </w:tcBorders>
            <w:noWrap w:val="0"/>
            <w:tcMar>
              <w:top w:w="-1" w:type="dxa"/>
              <w:left w:w="-1" w:type="dxa"/>
              <w:bottom w:w="-1" w:type="dxa"/>
              <w:right w:w="-1" w:type="dxa"/>
            </w:tcMar>
            <w:vAlign w:val="center"/>
          </w:tcPr>
          <w:p w14:paraId="69EE411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ascii="Arial" w:eastAsia="宋体"/>
                <w:sz w:val="24"/>
                <w:vertAlign w:val="baseline"/>
              </w:rPr>
            </w:pPr>
          </w:p>
        </w:tc>
        <w:tc>
          <w:tcPr>
            <w:tcW w:w="1381" w:type="dxa"/>
            <w:tcBorders>
              <w:top w:val="single" w:color="auto" w:sz="4" w:space="0"/>
              <w:left w:val="single" w:color="auto" w:sz="4" w:space="0"/>
              <w:bottom w:val="single" w:color="auto" w:sz="12" w:space="0"/>
              <w:right w:val="single" w:color="auto" w:sz="12" w:space="0"/>
            </w:tcBorders>
            <w:noWrap w:val="0"/>
            <w:tcMar>
              <w:top w:w="-1" w:type="dxa"/>
              <w:left w:w="-1" w:type="dxa"/>
              <w:bottom w:w="-1" w:type="dxa"/>
              <w:right w:w="-1" w:type="dxa"/>
            </w:tcMar>
            <w:vAlign w:val="center"/>
          </w:tcPr>
          <w:p w14:paraId="5E93A51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培训记录</w:t>
            </w:r>
          </w:p>
        </w:tc>
      </w:tr>
    </w:tbl>
    <w:p w14:paraId="66A4406C">
      <w:pPr>
        <w:keepNext w:val="0"/>
        <w:keepLines w:val="0"/>
        <w:pageBreakBefore w:val="0"/>
        <w:widowControl w:val="0"/>
        <w:kinsoku w:val="0"/>
        <w:wordWrap/>
        <w:overflowPunct/>
        <w:topLinePunct w:val="0"/>
        <w:autoSpaceDE w:val="0"/>
        <w:autoSpaceDN w:val="0"/>
        <w:bidi w:val="0"/>
        <w:adjustRightInd w:val="0"/>
        <w:snapToGrid w:val="0"/>
      </w:pPr>
    </w:p>
    <w:p w14:paraId="690C8896">
      <w:pPr>
        <w:pStyle w:val="27"/>
        <w:keepNext w:val="0"/>
        <w:keepLines w:val="0"/>
        <w:pageBreakBefore w:val="0"/>
        <w:widowControl w:val="0"/>
        <w:kinsoku w:val="0"/>
        <w:wordWrap/>
        <w:overflowPunct/>
        <w:topLinePunct w:val="0"/>
        <w:autoSpaceDE w:val="0"/>
        <w:autoSpaceDN w:val="0"/>
        <w:bidi w:val="0"/>
        <w:adjustRightInd w:val="0"/>
        <w:snapToGrid w:val="0"/>
      </w:pPr>
      <w:bookmarkStart w:id="143" w:name="_Toc12238"/>
      <w:r>
        <w:t>质量管理</w:t>
      </w:r>
      <w:bookmarkEnd w:id="141"/>
      <w:bookmarkEnd w:id="142"/>
      <w:bookmarkEnd w:id="143"/>
    </w:p>
    <w:p w14:paraId="7107B0B9">
      <w:pPr>
        <w:pStyle w:val="29"/>
        <w:keepNext w:val="0"/>
        <w:keepLines w:val="0"/>
        <w:pageBreakBefore w:val="0"/>
        <w:widowControl w:val="0"/>
        <w:kinsoku w:val="0"/>
        <w:wordWrap/>
        <w:overflowPunct/>
        <w:topLinePunct w:val="0"/>
        <w:autoSpaceDE w:val="0"/>
        <w:autoSpaceDN w:val="0"/>
        <w:bidi w:val="0"/>
        <w:adjustRightInd w:val="0"/>
        <w:snapToGrid w:val="0"/>
      </w:pPr>
      <w:bookmarkStart w:id="144" w:name="bookmark74"/>
      <w:bookmarkEnd w:id="144"/>
      <w:bookmarkStart w:id="145" w:name="_Toc19431"/>
      <w:bookmarkStart w:id="146" w:name="_Toc25644"/>
      <w:bookmarkStart w:id="147" w:name="_Toc26657"/>
      <w:r>
        <w:t>现状分析</w:t>
      </w:r>
      <w:bookmarkEnd w:id="145"/>
      <w:bookmarkEnd w:id="146"/>
      <w:bookmarkEnd w:id="147"/>
    </w:p>
    <w:p w14:paraId="22149D8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在质量管理规范化方面，质量部虽然已有一些既</w:t>
      </w:r>
      <w:r>
        <w:rPr>
          <w:rFonts w:ascii="宋体" w:hAnsi="宋体" w:eastAsia="宋体" w:cs="宋体"/>
          <w:spacing w:val="-1"/>
          <w:sz w:val="24"/>
          <w:szCs w:val="24"/>
        </w:rPr>
        <w:t>有的规范要求，但仍需</w:t>
      </w:r>
      <w:r>
        <w:rPr>
          <w:rFonts w:ascii="宋体" w:hAnsi="宋体" w:eastAsia="宋体" w:cs="宋体"/>
          <w:sz w:val="24"/>
          <w:szCs w:val="24"/>
        </w:rPr>
        <w:t>继续完善或执行现有的质量管理体系。另外，随着</w:t>
      </w:r>
      <w:r>
        <w:rPr>
          <w:rFonts w:ascii="宋体" w:hAnsi="宋体" w:eastAsia="宋体" w:cs="宋体"/>
          <w:spacing w:val="-1"/>
          <w:sz w:val="24"/>
          <w:szCs w:val="24"/>
        </w:rPr>
        <w:t>公司运维业务的不断发展，</w:t>
      </w:r>
      <w:r>
        <w:rPr>
          <w:rFonts w:ascii="宋体" w:hAnsi="宋体" w:eastAsia="宋体" w:cs="宋体"/>
          <w:spacing w:val="-3"/>
          <w:sz w:val="24"/>
          <w:szCs w:val="24"/>
        </w:rPr>
        <w:t>质量管理工作需进行全面的开展。</w:t>
      </w:r>
    </w:p>
    <w:p w14:paraId="30488DAD">
      <w:pPr>
        <w:pStyle w:val="29"/>
        <w:keepNext w:val="0"/>
        <w:keepLines w:val="0"/>
        <w:pageBreakBefore w:val="0"/>
        <w:widowControl w:val="0"/>
        <w:kinsoku w:val="0"/>
        <w:wordWrap/>
        <w:overflowPunct/>
        <w:topLinePunct w:val="0"/>
        <w:autoSpaceDE w:val="0"/>
        <w:autoSpaceDN w:val="0"/>
        <w:bidi w:val="0"/>
        <w:adjustRightInd w:val="0"/>
        <w:snapToGrid w:val="0"/>
      </w:pPr>
      <w:bookmarkStart w:id="148" w:name="bookmark60"/>
      <w:bookmarkEnd w:id="148"/>
      <w:bookmarkStart w:id="149" w:name="_Toc12720"/>
      <w:bookmarkStart w:id="150" w:name="_Toc28857"/>
      <w:bookmarkStart w:id="151" w:name="_Toc24884"/>
      <w:r>
        <w:t>改进目标</w:t>
      </w:r>
      <w:bookmarkEnd w:id="149"/>
      <w:bookmarkEnd w:id="150"/>
      <w:bookmarkEnd w:id="151"/>
    </w:p>
    <w:p w14:paraId="2222F6A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检查各部门是否按照已建立的运维服务管理体系进行相关管理活动，保证ITSS 体系的符合性；</w:t>
      </w:r>
    </w:p>
    <w:p w14:paraId="16ED16A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检查和审计各类汇报和报告，以提高其报告质量和及时性；</w:t>
      </w:r>
    </w:p>
    <w:p w14:paraId="43C823B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检查运维服务管理体系在经过每次评审和指导后对于暴露出问题的解决和修改，确保问题都能及时和稳妥地被解决。</w:t>
      </w:r>
    </w:p>
    <w:p w14:paraId="3A00878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组织员工培训运维服务管理体系文件，增强质量意识，适时扩充质量保证队伍。</w:t>
      </w:r>
    </w:p>
    <w:p w14:paraId="5A4E657B">
      <w:pPr>
        <w:pStyle w:val="29"/>
        <w:keepNext w:val="0"/>
        <w:keepLines w:val="0"/>
        <w:pageBreakBefore w:val="0"/>
        <w:widowControl w:val="0"/>
        <w:kinsoku w:val="0"/>
        <w:wordWrap/>
        <w:overflowPunct/>
        <w:topLinePunct w:val="0"/>
        <w:autoSpaceDE w:val="0"/>
        <w:autoSpaceDN w:val="0"/>
        <w:bidi w:val="0"/>
        <w:adjustRightInd w:val="0"/>
        <w:snapToGrid w:val="0"/>
      </w:pPr>
      <w:bookmarkStart w:id="152" w:name="bookmark61"/>
      <w:bookmarkEnd w:id="152"/>
      <w:bookmarkStart w:id="153" w:name="_Toc9887"/>
      <w:bookmarkStart w:id="154" w:name="_Toc3406"/>
      <w:bookmarkStart w:id="155" w:name="_Toc13642"/>
      <w:r>
        <w:t>实施计划</w:t>
      </w:r>
      <w:bookmarkEnd w:id="153"/>
      <w:bookmarkEnd w:id="154"/>
      <w:bookmarkEnd w:id="155"/>
    </w:p>
    <w:tbl>
      <w:tblPr>
        <w:tblStyle w:val="21"/>
        <w:tblW w:w="1013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451"/>
        <w:gridCol w:w="1126"/>
        <w:gridCol w:w="3216"/>
        <w:gridCol w:w="1596"/>
        <w:gridCol w:w="1286"/>
        <w:gridCol w:w="1286"/>
        <w:gridCol w:w="1172"/>
      </w:tblGrid>
      <w:tr w14:paraId="0950411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1" w:type="dxa"/>
              <w:left w:w="-1" w:type="dxa"/>
              <w:bottom w:w="-1" w:type="dxa"/>
              <w:right w:w="-1" w:type="dxa"/>
            </w:tcMar>
            <w:vAlign w:val="center"/>
          </w:tcPr>
          <w:p w14:paraId="3F4AEBA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b/>
                <w:sz w:val="19"/>
                <w:szCs w:val="19"/>
                <w:lang w:val="en-US" w:eastAsia="zh-CN"/>
              </w:rPr>
            </w:pPr>
            <w:r>
              <w:rPr>
                <w:rFonts w:hint="eastAsia" w:ascii="宋体" w:hAnsi="宋体" w:eastAsia="宋体" w:cs="宋体"/>
                <w:b/>
                <w:sz w:val="19"/>
                <w:szCs w:val="19"/>
                <w:lang w:val="en-US" w:eastAsia="zh-CN"/>
              </w:rPr>
              <w:t>编号</w:t>
            </w:r>
          </w:p>
        </w:tc>
        <w:tc>
          <w:tcPr>
            <w:tcW w:w="0" w:type="auto"/>
            <w:tcBorders>
              <w:top w:val="single" w:color="auto" w:sz="12" w:space="0"/>
              <w:left w:val="single" w:color="auto" w:sz="4" w:space="0"/>
              <w:bottom w:val="nil"/>
              <w:right w:val="nil"/>
            </w:tcBorders>
            <w:shd w:val="clear" w:color="auto" w:fill="auto"/>
            <w:noWrap w:val="0"/>
            <w:tcMar>
              <w:top w:w="-1" w:type="dxa"/>
              <w:left w:w="-1" w:type="dxa"/>
              <w:bottom w:w="-1" w:type="dxa"/>
              <w:right w:w="-1" w:type="dxa"/>
            </w:tcMar>
            <w:vAlign w:val="center"/>
          </w:tcPr>
          <w:p w14:paraId="18B0FC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b/>
                <w:sz w:val="19"/>
                <w:szCs w:val="19"/>
                <w:lang w:val="en-US" w:eastAsia="zh-CN"/>
              </w:rPr>
            </w:pPr>
            <w:r>
              <w:rPr>
                <w:rFonts w:hint="eastAsia" w:ascii="宋体" w:hAnsi="宋体" w:eastAsia="宋体" w:cs="宋体"/>
                <w:b/>
                <w:sz w:val="19"/>
                <w:szCs w:val="19"/>
                <w:lang w:val="en-US" w:eastAsia="zh-CN"/>
              </w:rPr>
              <w:t>工作项目</w:t>
            </w:r>
          </w:p>
        </w:tc>
        <w:tc>
          <w:tcPr>
            <w:tcW w:w="3216" w:type="dxa"/>
            <w:tcBorders>
              <w:top w:val="single" w:color="auto" w:sz="12" w:space="0"/>
              <w:left w:val="single" w:color="auto" w:sz="4" w:space="0"/>
              <w:bottom w:val="nil"/>
              <w:right w:val="nil"/>
            </w:tcBorders>
            <w:shd w:val="clear" w:color="auto" w:fill="auto"/>
            <w:noWrap w:val="0"/>
            <w:tcMar>
              <w:top w:w="-1" w:type="dxa"/>
              <w:left w:w="-1" w:type="dxa"/>
              <w:bottom w:w="-1" w:type="dxa"/>
              <w:right w:w="-1" w:type="dxa"/>
            </w:tcMar>
            <w:vAlign w:val="center"/>
          </w:tcPr>
          <w:p w14:paraId="71379DF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b/>
                <w:sz w:val="19"/>
                <w:szCs w:val="19"/>
                <w:lang w:val="en-US" w:eastAsia="zh-CN"/>
              </w:rPr>
            </w:pPr>
            <w:r>
              <w:rPr>
                <w:rFonts w:hint="eastAsia" w:ascii="宋体" w:hAnsi="宋体" w:eastAsia="宋体" w:cs="宋体"/>
                <w:b/>
                <w:sz w:val="19"/>
                <w:szCs w:val="19"/>
                <w:lang w:val="en-US" w:eastAsia="zh-CN"/>
              </w:rPr>
              <w:t>措施及要求</w:t>
            </w:r>
          </w:p>
        </w:tc>
        <w:tc>
          <w:tcPr>
            <w:tcW w:w="0" w:type="auto"/>
            <w:tcBorders>
              <w:top w:val="single" w:color="auto" w:sz="12" w:space="0"/>
              <w:left w:val="single" w:color="auto" w:sz="4" w:space="0"/>
              <w:bottom w:val="nil"/>
              <w:right w:val="nil"/>
            </w:tcBorders>
            <w:shd w:val="clear" w:color="auto" w:fill="auto"/>
            <w:noWrap w:val="0"/>
            <w:tcMar>
              <w:top w:w="-1" w:type="dxa"/>
              <w:left w:w="-1" w:type="dxa"/>
              <w:bottom w:w="-1" w:type="dxa"/>
              <w:right w:w="-1" w:type="dxa"/>
            </w:tcMar>
            <w:vAlign w:val="center"/>
          </w:tcPr>
          <w:p w14:paraId="769C44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b/>
                <w:sz w:val="19"/>
                <w:szCs w:val="19"/>
                <w:lang w:val="en-US" w:eastAsia="zh-CN"/>
              </w:rPr>
            </w:pPr>
            <w:r>
              <w:rPr>
                <w:rFonts w:hint="eastAsia" w:ascii="宋体" w:hAnsi="宋体" w:eastAsia="宋体" w:cs="宋体"/>
                <w:b/>
                <w:sz w:val="19"/>
                <w:szCs w:val="19"/>
                <w:lang w:val="en-US" w:eastAsia="zh-CN"/>
              </w:rPr>
              <w:t>责任部门</w:t>
            </w:r>
          </w:p>
        </w:tc>
        <w:tc>
          <w:tcPr>
            <w:tcW w:w="1286" w:type="dxa"/>
            <w:tcBorders>
              <w:top w:val="single" w:color="auto" w:sz="12" w:space="0"/>
              <w:left w:val="single" w:color="auto" w:sz="4" w:space="0"/>
              <w:bottom w:val="nil"/>
              <w:right w:val="nil"/>
            </w:tcBorders>
            <w:shd w:val="clear" w:color="auto" w:fill="auto"/>
            <w:noWrap w:val="0"/>
            <w:tcMar>
              <w:top w:w="-1" w:type="dxa"/>
              <w:left w:w="-1" w:type="dxa"/>
              <w:bottom w:w="-1" w:type="dxa"/>
              <w:right w:w="-1" w:type="dxa"/>
            </w:tcMar>
            <w:vAlign w:val="center"/>
          </w:tcPr>
          <w:p w14:paraId="06843C4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b/>
                <w:sz w:val="19"/>
                <w:szCs w:val="19"/>
                <w:lang w:val="en-US" w:eastAsia="zh-CN"/>
              </w:rPr>
            </w:pPr>
            <w:r>
              <w:rPr>
                <w:rFonts w:hint="eastAsia" w:ascii="宋体" w:hAnsi="宋体" w:eastAsia="宋体" w:cs="宋体"/>
                <w:b/>
                <w:sz w:val="19"/>
                <w:szCs w:val="19"/>
                <w:lang w:val="en-US" w:eastAsia="zh-CN"/>
              </w:rPr>
              <w:t>配合部门</w:t>
            </w:r>
          </w:p>
        </w:tc>
        <w:tc>
          <w:tcPr>
            <w:tcW w:w="1286" w:type="dxa"/>
            <w:tcBorders>
              <w:top w:val="single" w:color="auto" w:sz="12" w:space="0"/>
              <w:left w:val="single" w:color="auto" w:sz="4" w:space="0"/>
              <w:bottom w:val="nil"/>
              <w:right w:val="nil"/>
            </w:tcBorders>
            <w:shd w:val="clear" w:color="auto" w:fill="auto"/>
            <w:noWrap w:val="0"/>
            <w:tcMar>
              <w:top w:w="-1" w:type="dxa"/>
              <w:left w:w="-1" w:type="dxa"/>
              <w:bottom w:w="-1" w:type="dxa"/>
              <w:right w:w="-1" w:type="dxa"/>
            </w:tcMar>
            <w:vAlign w:val="center"/>
          </w:tcPr>
          <w:p w14:paraId="0C1AD8F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b/>
                <w:sz w:val="19"/>
                <w:szCs w:val="19"/>
                <w:lang w:val="en-US" w:eastAsia="en-US"/>
              </w:rPr>
            </w:pPr>
            <w:r>
              <w:rPr>
                <w:rFonts w:hint="eastAsia" w:ascii="宋体" w:hAnsi="宋体" w:eastAsia="宋体" w:cs="宋体"/>
                <w:b/>
                <w:sz w:val="19"/>
                <w:szCs w:val="19"/>
                <w:lang w:val="en-US" w:eastAsia="zh-CN"/>
              </w:rPr>
              <w:t>负责人</w:t>
            </w:r>
          </w:p>
        </w:tc>
        <w:tc>
          <w:tcPr>
            <w:tcW w:w="1172" w:type="dxa"/>
            <w:tcBorders>
              <w:top w:val="single" w:color="auto" w:sz="12"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3C0AB29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b/>
                <w:sz w:val="19"/>
                <w:szCs w:val="19"/>
                <w:lang w:val="en-US" w:eastAsia="en-US"/>
              </w:rPr>
            </w:pPr>
            <w:r>
              <w:rPr>
                <w:rFonts w:hint="eastAsia" w:ascii="宋体" w:hAnsi="宋体" w:eastAsia="宋体" w:cs="宋体"/>
                <w:b/>
                <w:sz w:val="19"/>
                <w:szCs w:val="19"/>
                <w:lang w:val="en-US" w:eastAsia="zh-CN"/>
              </w:rPr>
              <w:t>计划实施日期</w:t>
            </w:r>
          </w:p>
        </w:tc>
      </w:tr>
      <w:tr w14:paraId="12EF1F6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 w:type="dxa"/>
              <w:left w:w="-1" w:type="dxa"/>
              <w:bottom w:w="-1" w:type="dxa"/>
              <w:right w:w="-1" w:type="dxa"/>
            </w:tcMar>
            <w:vAlign w:val="center"/>
          </w:tcPr>
          <w:p w14:paraId="6BD6F62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1</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28F4189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运维服务质量目标策划分解</w:t>
            </w:r>
          </w:p>
        </w:tc>
        <w:tc>
          <w:tcPr>
            <w:tcW w:w="321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120840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组织制定部门运维服务质量目标；</w:t>
            </w:r>
          </w:p>
          <w:p w14:paraId="1947152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对部门运维服务质量目标进行分解，制定质量目标展开对策表。</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5AB3E3A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D390D1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3C47A3B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172" w:type="dxa"/>
            <w:tcBorders>
              <w:top w:val="single" w:color="auto" w:sz="4"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2A34F18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w:t>
            </w:r>
            <w:r>
              <w:rPr>
                <w:rFonts w:hint="eastAsia" w:ascii="宋体" w:hAnsi="宋体" w:cs="宋体"/>
                <w:sz w:val="19"/>
                <w:szCs w:val="19"/>
                <w:lang w:val="en-US" w:eastAsia="zh-CN"/>
              </w:rPr>
              <w:t>6</w:t>
            </w:r>
            <w:r>
              <w:rPr>
                <w:rFonts w:hint="eastAsia" w:ascii="宋体" w:hAnsi="宋体" w:eastAsia="宋体" w:cs="宋体"/>
                <w:sz w:val="19"/>
                <w:szCs w:val="19"/>
                <w:lang w:val="en-US" w:eastAsia="en-US"/>
              </w:rPr>
              <w:t>年</w:t>
            </w:r>
            <w:r>
              <w:rPr>
                <w:rFonts w:hint="eastAsia" w:ascii="宋体" w:hAnsi="宋体" w:cs="宋体"/>
                <w:sz w:val="19"/>
                <w:szCs w:val="19"/>
                <w:lang w:val="en-US" w:eastAsia="zh-CN"/>
              </w:rPr>
              <w:t>4</w:t>
            </w:r>
            <w:r>
              <w:rPr>
                <w:rFonts w:hint="eastAsia" w:ascii="宋体" w:hAnsi="宋体" w:eastAsia="宋体" w:cs="宋体"/>
                <w:sz w:val="19"/>
                <w:szCs w:val="19"/>
                <w:lang w:val="en-US" w:eastAsia="en-US"/>
              </w:rPr>
              <w:t xml:space="preserve"> 月</w:t>
            </w:r>
          </w:p>
        </w:tc>
      </w:tr>
      <w:tr w14:paraId="259D300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 w:type="dxa"/>
              <w:left w:w="-1" w:type="dxa"/>
              <w:bottom w:w="-1" w:type="dxa"/>
              <w:right w:w="-1" w:type="dxa"/>
            </w:tcMar>
            <w:vAlign w:val="center"/>
          </w:tcPr>
          <w:p w14:paraId="3481480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2</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41BD19F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质量信息反馈</w:t>
            </w:r>
          </w:p>
        </w:tc>
        <w:tc>
          <w:tcPr>
            <w:tcW w:w="321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0F83824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加强与用户的联系，主动征求意见；</w:t>
            </w:r>
          </w:p>
          <w:p w14:paraId="3689AB7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按规定及时交流和采用反馈信息；</w:t>
            </w:r>
          </w:p>
          <w:p w14:paraId="245AB66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3. 通过公司、事件不同角度的用户满意度调查和统计分析，及时掌握用户要求和用户意见；</w:t>
            </w:r>
          </w:p>
          <w:p w14:paraId="553B6C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4. 跟踪问题处置；</w:t>
            </w:r>
          </w:p>
          <w:p w14:paraId="21E2DCC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5. 处理用户投诉；</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69F425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47A1087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4C3412C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172" w:type="dxa"/>
            <w:tcBorders>
              <w:top w:val="single" w:color="auto" w:sz="4"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1DD770B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全年</w:t>
            </w:r>
          </w:p>
        </w:tc>
      </w:tr>
      <w:tr w14:paraId="149BB4F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 w:type="dxa"/>
              <w:left w:w="-1" w:type="dxa"/>
              <w:bottom w:w="-1" w:type="dxa"/>
              <w:right w:w="-1" w:type="dxa"/>
            </w:tcMar>
            <w:vAlign w:val="center"/>
          </w:tcPr>
          <w:p w14:paraId="16A5E5C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3</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5FB85D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运维服务制度的培训与学习</w:t>
            </w:r>
          </w:p>
        </w:tc>
        <w:tc>
          <w:tcPr>
            <w:tcW w:w="321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4720AA7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运维服务文件下发后，应及时组织学习。</w:t>
            </w:r>
          </w:p>
          <w:p w14:paraId="671996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结合监督检查、内审、管理评审中发现的不符合项，学习有关管理文件；</w:t>
            </w:r>
          </w:p>
          <w:p w14:paraId="206555D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3. 做好学习记录。</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5FC87A4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人力资源部、</w:t>
            </w:r>
          </w:p>
          <w:p w14:paraId="62C0737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6BC5209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各相关部门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211C90A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人力资源部</w:t>
            </w:r>
          </w:p>
        </w:tc>
        <w:tc>
          <w:tcPr>
            <w:tcW w:w="1172" w:type="dxa"/>
            <w:tcBorders>
              <w:top w:val="single" w:color="auto" w:sz="4"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5F36563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w:t>
            </w:r>
            <w:r>
              <w:rPr>
                <w:rFonts w:hint="eastAsia" w:ascii="宋体" w:hAnsi="宋体" w:cs="宋体"/>
                <w:sz w:val="19"/>
                <w:szCs w:val="19"/>
                <w:lang w:val="en-US" w:eastAsia="zh-CN"/>
              </w:rPr>
              <w:t>7</w:t>
            </w:r>
            <w:r>
              <w:rPr>
                <w:rFonts w:hint="eastAsia" w:ascii="宋体" w:hAnsi="宋体" w:eastAsia="宋体" w:cs="宋体"/>
                <w:sz w:val="19"/>
                <w:szCs w:val="19"/>
                <w:lang w:val="en-US" w:eastAsia="en-US"/>
              </w:rPr>
              <w:t>月</w:t>
            </w:r>
          </w:p>
          <w:p w14:paraId="18897462">
            <w:pPr>
              <w:keepNext w:val="0"/>
              <w:keepLines w:val="0"/>
              <w:pageBreakBefore w:val="0"/>
              <w:widowControl w:val="0"/>
              <w:kinsoku w:val="0"/>
              <w:wordWrap/>
              <w:overflowPunct/>
              <w:topLinePunct w:val="0"/>
              <w:autoSpaceDE w:val="0"/>
              <w:autoSpaceDN w:val="0"/>
              <w:bidi w:val="0"/>
              <w:adjustRightInd w:val="0"/>
              <w:snapToGrid w:val="0"/>
              <w:spacing w:line="240" w:lineRule="auto"/>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w:t>
            </w:r>
            <w:r>
              <w:rPr>
                <w:rFonts w:hint="eastAsia" w:ascii="宋体" w:hAnsi="宋体" w:cs="宋体"/>
                <w:sz w:val="19"/>
                <w:szCs w:val="19"/>
                <w:lang w:val="en-US" w:eastAsia="zh-CN"/>
              </w:rPr>
              <w:t>6</w:t>
            </w:r>
            <w:r>
              <w:rPr>
                <w:rFonts w:hint="eastAsia" w:ascii="宋体" w:hAnsi="宋体" w:eastAsia="宋体" w:cs="宋体"/>
                <w:sz w:val="19"/>
                <w:szCs w:val="19"/>
                <w:lang w:val="en-US" w:eastAsia="en-US"/>
              </w:rPr>
              <w:t>年3月</w:t>
            </w:r>
          </w:p>
        </w:tc>
      </w:tr>
      <w:tr w14:paraId="5D21EBD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 w:type="dxa"/>
              <w:left w:w="-1" w:type="dxa"/>
              <w:bottom w:w="-1" w:type="dxa"/>
              <w:right w:w="-1" w:type="dxa"/>
            </w:tcMar>
            <w:vAlign w:val="center"/>
          </w:tcPr>
          <w:p w14:paraId="2B21D2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4</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0286125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运维服务能力管理体系过程控制</w:t>
            </w:r>
          </w:p>
        </w:tc>
        <w:tc>
          <w:tcPr>
            <w:tcW w:w="321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59151FB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各部门强化工作范围内的执行规范，严格按照管理规定，做好服务工作的过程控制，保障过程文档记录的有效性和完整性，做到有章可循、有据可查；</w:t>
            </w:r>
          </w:p>
          <w:p w14:paraId="5866B8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运维部认真做好定期的服务回顾与报告分析，继续强化周例会、服务巡检、检查审核，针对总结出的问题认真处置，保持一种较好的服务状态；</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46A45D4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55CC71C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665FC0F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172" w:type="dxa"/>
            <w:tcBorders>
              <w:top w:val="single" w:color="auto" w:sz="4"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2BDF0E0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全年</w:t>
            </w:r>
          </w:p>
        </w:tc>
      </w:tr>
      <w:tr w14:paraId="1005AE5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 w:type="dxa"/>
              <w:left w:w="-1" w:type="dxa"/>
              <w:bottom w:w="-1" w:type="dxa"/>
              <w:right w:w="-1" w:type="dxa"/>
            </w:tcMar>
            <w:vAlign w:val="center"/>
          </w:tcPr>
          <w:p w14:paraId="1B46D71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5</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38DB4E0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客户满意度调查</w:t>
            </w:r>
          </w:p>
        </w:tc>
        <w:tc>
          <w:tcPr>
            <w:tcW w:w="321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2C80B34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质量部每年对运维服务客户进行公司级客户满意度调查。</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55227D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运维部、质量部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4AB15BB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16A688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1172" w:type="dxa"/>
            <w:tcBorders>
              <w:top w:val="single" w:color="auto" w:sz="4"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732F1C2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cs="宋体"/>
                <w:sz w:val="19"/>
                <w:szCs w:val="19"/>
                <w:lang w:val="en-US" w:eastAsia="zh-CN"/>
              </w:rPr>
              <w:t>12</w:t>
            </w:r>
            <w:r>
              <w:rPr>
                <w:rFonts w:hint="eastAsia" w:ascii="宋体" w:hAnsi="宋体" w:eastAsia="宋体" w:cs="宋体"/>
                <w:sz w:val="19"/>
                <w:szCs w:val="19"/>
              </w:rPr>
              <w:t>月</w:t>
            </w:r>
          </w:p>
        </w:tc>
      </w:tr>
      <w:tr w14:paraId="4B0BA0F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 w:type="dxa"/>
              <w:left w:w="-1" w:type="dxa"/>
              <w:bottom w:w="-1" w:type="dxa"/>
              <w:right w:w="-1" w:type="dxa"/>
            </w:tcMar>
            <w:vAlign w:val="center"/>
          </w:tcPr>
          <w:p w14:paraId="0956D96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6</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CAE0EE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内审</w:t>
            </w:r>
          </w:p>
        </w:tc>
        <w:tc>
          <w:tcPr>
            <w:tcW w:w="321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1CD9E09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rPr>
            </w:pPr>
            <w:r>
              <w:rPr>
                <w:rFonts w:hint="eastAsia" w:ascii="宋体" w:hAnsi="宋体" w:eastAsia="宋体" w:cs="宋体"/>
                <w:sz w:val="19"/>
                <w:szCs w:val="19"/>
              </w:rPr>
              <w:t>按规定要求制订审核计划，选好内审员，做好内审前培训；做好各项准备工作，开预备会议；</w:t>
            </w:r>
          </w:p>
          <w:p w14:paraId="4CCB229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rPr>
            </w:pPr>
            <w:r>
              <w:rPr>
                <w:rFonts w:hint="eastAsia" w:ascii="宋体" w:hAnsi="宋体" w:eastAsia="宋体" w:cs="宋体"/>
                <w:sz w:val="19"/>
                <w:szCs w:val="19"/>
              </w:rPr>
              <w:t>现场审核，做好审核记录；</w:t>
            </w:r>
          </w:p>
          <w:p w14:paraId="423BEF4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rPr>
            </w:pPr>
            <w:r>
              <w:rPr>
                <w:rFonts w:hint="eastAsia" w:ascii="宋体" w:hAnsi="宋体" w:eastAsia="宋体" w:cs="宋体"/>
                <w:sz w:val="19"/>
                <w:szCs w:val="19"/>
              </w:rPr>
              <w:t>编写审核报告并及时下发；</w:t>
            </w:r>
          </w:p>
          <w:p w14:paraId="57E3623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对不符合项按规定认真进行整改和验证。</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4260F1D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14FF3FD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308B9A9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1172" w:type="dxa"/>
            <w:tcBorders>
              <w:top w:val="single" w:color="auto" w:sz="4"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129958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cs="宋体"/>
                <w:sz w:val="19"/>
                <w:szCs w:val="19"/>
                <w:lang w:val="en-US" w:eastAsia="zh-CN"/>
              </w:rPr>
              <w:t>12</w:t>
            </w:r>
            <w:r>
              <w:rPr>
                <w:rFonts w:hint="eastAsia" w:ascii="宋体" w:hAnsi="宋体" w:eastAsia="宋体" w:cs="宋体"/>
                <w:sz w:val="19"/>
                <w:szCs w:val="19"/>
              </w:rPr>
              <w:t>月</w:t>
            </w:r>
          </w:p>
        </w:tc>
      </w:tr>
      <w:tr w14:paraId="73BACB5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 w:type="dxa"/>
              <w:left w:w="-1" w:type="dxa"/>
              <w:bottom w:w="-1" w:type="dxa"/>
              <w:right w:w="-1" w:type="dxa"/>
            </w:tcMar>
            <w:vAlign w:val="center"/>
          </w:tcPr>
          <w:p w14:paraId="5A72AA7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7</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18F37F9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管理评审</w:t>
            </w:r>
          </w:p>
        </w:tc>
        <w:tc>
          <w:tcPr>
            <w:tcW w:w="321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0DDE4E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rPr>
            </w:pPr>
            <w:r>
              <w:rPr>
                <w:rFonts w:hint="eastAsia" w:ascii="宋体" w:hAnsi="宋体" w:eastAsia="宋体" w:cs="宋体"/>
                <w:sz w:val="19"/>
                <w:szCs w:val="19"/>
              </w:rPr>
              <w:t>1. 根据总经理意见，质量部编制运维服务管理评审计划，组织编制管理评审专题报告</w:t>
            </w:r>
          </w:p>
          <w:p w14:paraId="086F359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rPr>
            </w:pPr>
            <w:r>
              <w:rPr>
                <w:rFonts w:hint="eastAsia" w:ascii="宋体" w:hAnsi="宋体" w:eastAsia="宋体" w:cs="宋体"/>
                <w:sz w:val="19"/>
                <w:szCs w:val="19"/>
              </w:rPr>
              <w:t>2. 副总经理组织汇报及评审材料，提交会议评审；</w:t>
            </w:r>
          </w:p>
          <w:p w14:paraId="1D569CB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rPr>
            </w:pPr>
            <w:r>
              <w:rPr>
                <w:rFonts w:hint="eastAsia" w:ascii="宋体" w:hAnsi="宋体" w:eastAsia="宋体" w:cs="宋体"/>
                <w:sz w:val="19"/>
                <w:szCs w:val="19"/>
              </w:rPr>
              <w:t>3. 总经理主持，有关部门和人 员参加，实施运维服务管理评审，并做好记录；编制评审报告并发放；</w:t>
            </w:r>
          </w:p>
          <w:p w14:paraId="66D7968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4. 实施运维服务管理评审报告有关工作。</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253C190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6E3A04A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1F0529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1172" w:type="dxa"/>
            <w:tcBorders>
              <w:top w:val="single" w:color="auto" w:sz="4"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03316EA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w:t>
            </w:r>
            <w:r>
              <w:rPr>
                <w:rFonts w:hint="eastAsia" w:ascii="宋体" w:hAnsi="宋体" w:cs="宋体"/>
                <w:sz w:val="19"/>
                <w:szCs w:val="19"/>
                <w:lang w:val="en-US" w:eastAsia="zh-CN"/>
              </w:rPr>
              <w:t>2</w:t>
            </w:r>
            <w:r>
              <w:rPr>
                <w:rFonts w:hint="eastAsia" w:ascii="宋体" w:hAnsi="宋体" w:eastAsia="宋体" w:cs="宋体"/>
                <w:sz w:val="19"/>
                <w:szCs w:val="19"/>
              </w:rPr>
              <w:t>月</w:t>
            </w:r>
          </w:p>
          <w:p w14:paraId="4B76700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p>
        </w:tc>
      </w:tr>
      <w:tr w14:paraId="63FE0CA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 w:type="dxa"/>
              <w:left w:w="-1" w:type="dxa"/>
              <w:bottom w:w="-1" w:type="dxa"/>
              <w:right w:w="-1" w:type="dxa"/>
            </w:tcMar>
            <w:vAlign w:val="center"/>
          </w:tcPr>
          <w:p w14:paraId="24574F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8</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45C3F1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运维服务质量目标实施效果分析评价</w:t>
            </w:r>
          </w:p>
        </w:tc>
        <w:tc>
          <w:tcPr>
            <w:tcW w:w="321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26B57FA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rPr>
            </w:pPr>
            <w:r>
              <w:rPr>
                <w:rFonts w:hint="eastAsia" w:ascii="宋体" w:hAnsi="宋体" w:eastAsia="宋体" w:cs="宋体"/>
                <w:sz w:val="19"/>
                <w:szCs w:val="19"/>
              </w:rPr>
              <w:t>1. 运维部经理结合部门年 初制定的运维服务质量目标对策表，针对质量目标进行逐条评价，形成运维服务质量目标实施效果分析评价报告。</w:t>
            </w:r>
          </w:p>
          <w:p w14:paraId="6CDA300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2. 质量部根据质量目标分析 评价报告，形成公司级运维服务质量目标实施效果分析评价报告。</w:t>
            </w:r>
          </w:p>
        </w:tc>
        <w:tc>
          <w:tcPr>
            <w:tcW w:w="0" w:type="auto"/>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76B76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运维部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49FAB4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1286" w:type="dxa"/>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38F0B10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运维部经理</w:t>
            </w:r>
          </w:p>
        </w:tc>
        <w:tc>
          <w:tcPr>
            <w:tcW w:w="1172" w:type="dxa"/>
            <w:tcBorders>
              <w:top w:val="single" w:color="auto" w:sz="4" w:space="0"/>
              <w:left w:val="single" w:color="auto" w:sz="4" w:space="0"/>
              <w:bottom w:val="nil"/>
              <w:right w:val="single" w:color="auto" w:sz="12" w:space="0"/>
            </w:tcBorders>
            <w:shd w:val="clear" w:color="auto" w:fill="auto"/>
            <w:noWrap w:val="0"/>
            <w:tcMar>
              <w:top w:w="-1" w:type="dxa"/>
              <w:left w:w="-1" w:type="dxa"/>
              <w:bottom w:w="-1" w:type="dxa"/>
              <w:right w:w="-1" w:type="dxa"/>
            </w:tcMar>
            <w:vAlign w:val="center"/>
          </w:tcPr>
          <w:p w14:paraId="686D36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w:t>
            </w:r>
            <w:r>
              <w:rPr>
                <w:rFonts w:hint="eastAsia" w:ascii="宋体" w:hAnsi="宋体" w:cs="宋体"/>
                <w:sz w:val="19"/>
                <w:szCs w:val="19"/>
                <w:lang w:val="en-US" w:eastAsia="zh-CN"/>
              </w:rPr>
              <w:t>2</w:t>
            </w:r>
            <w:r>
              <w:rPr>
                <w:rFonts w:hint="eastAsia" w:ascii="宋体" w:hAnsi="宋体" w:eastAsia="宋体" w:cs="宋体"/>
                <w:sz w:val="19"/>
                <w:szCs w:val="19"/>
              </w:rPr>
              <w:t>月</w:t>
            </w:r>
          </w:p>
        </w:tc>
      </w:tr>
      <w:tr w14:paraId="3F468E6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451" w:type="dxa"/>
            <w:tcBorders>
              <w:top w:val="single" w:color="auto" w:sz="4" w:space="0"/>
              <w:left w:val="single" w:color="auto" w:sz="12" w:space="0"/>
              <w:bottom w:val="single" w:color="auto" w:sz="12" w:space="0"/>
              <w:right w:val="nil"/>
            </w:tcBorders>
            <w:shd w:val="clear" w:color="auto" w:fill="auto"/>
            <w:noWrap w:val="0"/>
            <w:tcMar>
              <w:top w:w="-1" w:type="dxa"/>
              <w:left w:w="-1" w:type="dxa"/>
              <w:bottom w:w="-1" w:type="dxa"/>
              <w:right w:w="-1" w:type="dxa"/>
            </w:tcMar>
            <w:vAlign w:val="center"/>
          </w:tcPr>
          <w:p w14:paraId="26E698A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9</w:t>
            </w:r>
          </w:p>
        </w:tc>
        <w:tc>
          <w:tcPr>
            <w:tcW w:w="1126" w:type="dxa"/>
            <w:tcBorders>
              <w:top w:val="single" w:color="auto" w:sz="4" w:space="0"/>
              <w:left w:val="single" w:color="auto" w:sz="4" w:space="0"/>
              <w:bottom w:val="single" w:color="auto" w:sz="12" w:space="0"/>
              <w:right w:val="nil"/>
            </w:tcBorders>
            <w:shd w:val="clear" w:color="auto" w:fill="auto"/>
            <w:noWrap w:val="0"/>
            <w:tcMar>
              <w:top w:w="-1" w:type="dxa"/>
              <w:left w:w="-1" w:type="dxa"/>
              <w:bottom w:w="-1" w:type="dxa"/>
              <w:right w:w="-1" w:type="dxa"/>
            </w:tcMar>
            <w:vAlign w:val="center"/>
          </w:tcPr>
          <w:p w14:paraId="151229B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体系文件的持续修订</w:t>
            </w:r>
          </w:p>
        </w:tc>
        <w:tc>
          <w:tcPr>
            <w:tcW w:w="3216" w:type="dxa"/>
            <w:tcBorders>
              <w:top w:val="single" w:color="auto" w:sz="4" w:space="0"/>
              <w:left w:val="single" w:color="auto" w:sz="4" w:space="0"/>
              <w:bottom w:val="single" w:color="auto" w:sz="12" w:space="0"/>
              <w:right w:val="nil"/>
            </w:tcBorders>
            <w:shd w:val="clear" w:color="auto" w:fill="auto"/>
            <w:noWrap w:val="0"/>
            <w:tcMar>
              <w:top w:w="-1" w:type="dxa"/>
              <w:left w:w="-1" w:type="dxa"/>
              <w:bottom w:w="-1" w:type="dxa"/>
              <w:right w:w="-1" w:type="dxa"/>
            </w:tcMar>
            <w:vAlign w:val="center"/>
          </w:tcPr>
          <w:p w14:paraId="3698625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rPr>
            </w:pPr>
            <w:r>
              <w:rPr>
                <w:rFonts w:hint="eastAsia" w:ascii="宋体" w:hAnsi="宋体" w:eastAsia="宋体" w:cs="宋体"/>
                <w:sz w:val="19"/>
                <w:szCs w:val="19"/>
              </w:rPr>
              <w:t>1. 公司各部门日常管理工作流程如发现与体系文件不匹配的情况，根据自身情况对体系文件进行修订、评审、改进。</w:t>
            </w:r>
          </w:p>
          <w:p w14:paraId="648697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2. 在内审、管理评审中，发现公司体系文件与 ITSS 标准不符合的情况，应及时对体系文件提出修改建议，持续修订、改进。</w:t>
            </w:r>
          </w:p>
        </w:tc>
        <w:tc>
          <w:tcPr>
            <w:tcW w:w="1596" w:type="dxa"/>
            <w:tcBorders>
              <w:top w:val="single" w:color="auto" w:sz="4" w:space="0"/>
              <w:left w:val="single" w:color="auto" w:sz="4" w:space="0"/>
              <w:bottom w:val="single" w:color="auto" w:sz="12" w:space="0"/>
              <w:right w:val="nil"/>
            </w:tcBorders>
            <w:shd w:val="clear" w:color="auto" w:fill="auto"/>
            <w:noWrap w:val="0"/>
            <w:tcMar>
              <w:top w:w="-1" w:type="dxa"/>
              <w:left w:w="-1" w:type="dxa"/>
              <w:bottom w:w="-1" w:type="dxa"/>
              <w:right w:w="-1" w:type="dxa"/>
            </w:tcMar>
            <w:vAlign w:val="center"/>
          </w:tcPr>
          <w:p w14:paraId="10C0992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1286" w:type="dxa"/>
            <w:tcBorders>
              <w:top w:val="single" w:color="auto" w:sz="4" w:space="0"/>
              <w:left w:val="single" w:color="auto" w:sz="4" w:space="0"/>
              <w:bottom w:val="single" w:color="auto" w:sz="12" w:space="0"/>
              <w:right w:val="nil"/>
            </w:tcBorders>
            <w:shd w:val="clear" w:color="auto" w:fill="auto"/>
            <w:noWrap w:val="0"/>
            <w:tcMar>
              <w:top w:w="-1" w:type="dxa"/>
              <w:left w:w="-1" w:type="dxa"/>
              <w:bottom w:w="-1" w:type="dxa"/>
              <w:right w:w="-1" w:type="dxa"/>
            </w:tcMar>
            <w:vAlign w:val="center"/>
          </w:tcPr>
          <w:p w14:paraId="697D519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1286" w:type="dxa"/>
            <w:tcBorders>
              <w:top w:val="single" w:color="auto" w:sz="4" w:space="0"/>
              <w:left w:val="single" w:color="auto" w:sz="4" w:space="0"/>
              <w:bottom w:val="single" w:color="auto" w:sz="12" w:space="0"/>
              <w:right w:val="nil"/>
            </w:tcBorders>
            <w:shd w:val="clear" w:color="auto" w:fill="auto"/>
            <w:noWrap w:val="0"/>
            <w:tcMar>
              <w:top w:w="-1" w:type="dxa"/>
              <w:left w:w="-1" w:type="dxa"/>
              <w:bottom w:w="-1" w:type="dxa"/>
              <w:right w:w="-1" w:type="dxa"/>
            </w:tcMar>
            <w:vAlign w:val="center"/>
          </w:tcPr>
          <w:p w14:paraId="2E523FB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1172" w:type="dxa"/>
            <w:tcBorders>
              <w:top w:val="single" w:color="auto" w:sz="4" w:space="0"/>
              <w:left w:val="single" w:color="auto" w:sz="4" w:space="0"/>
              <w:bottom w:val="single" w:color="auto" w:sz="12" w:space="0"/>
              <w:right w:val="single" w:color="auto" w:sz="12" w:space="0"/>
            </w:tcBorders>
            <w:shd w:val="clear" w:color="auto" w:fill="auto"/>
            <w:noWrap w:val="0"/>
            <w:tcMar>
              <w:top w:w="-1" w:type="dxa"/>
              <w:left w:w="-1" w:type="dxa"/>
              <w:bottom w:w="-1" w:type="dxa"/>
              <w:right w:w="-1" w:type="dxa"/>
            </w:tcMar>
            <w:vAlign w:val="center"/>
          </w:tcPr>
          <w:p w14:paraId="3FA058A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rPr>
                <w:rFonts w:hint="eastAsia" w:ascii="宋体" w:hAnsi="宋体" w:eastAsia="宋体" w:cs="宋体"/>
                <w:sz w:val="19"/>
                <w:szCs w:val="19"/>
                <w:lang w:val="en-US" w:eastAsia="en-US"/>
              </w:rPr>
            </w:pPr>
            <w:r>
              <w:rPr>
                <w:rFonts w:hint="eastAsia" w:ascii="宋体" w:hAnsi="宋体" w:eastAsia="宋体" w:cs="宋体"/>
                <w:sz w:val="19"/>
                <w:szCs w:val="19"/>
              </w:rPr>
              <w:t>全年</w:t>
            </w:r>
          </w:p>
        </w:tc>
      </w:tr>
    </w:tbl>
    <w:p w14:paraId="03A84C0B">
      <w:pPr>
        <w:pStyle w:val="12"/>
        <w:keepNext w:val="0"/>
        <w:keepLines w:val="0"/>
        <w:pageBreakBefore w:val="0"/>
        <w:widowControl w:val="0"/>
        <w:kinsoku w:val="0"/>
        <w:wordWrap/>
        <w:overflowPunct/>
        <w:topLinePunct w:val="0"/>
        <w:autoSpaceDE w:val="0"/>
        <w:autoSpaceDN w:val="0"/>
        <w:bidi w:val="0"/>
        <w:adjustRightInd w:val="0"/>
        <w:snapToGrid w:val="0"/>
      </w:pPr>
    </w:p>
    <w:sectPr>
      <w:footerReference r:id="rId7" w:type="default"/>
      <w:pgSz w:w="11906" w:h="16839"/>
      <w:pgMar w:top="1440" w:right="1800" w:bottom="1440" w:left="1800" w:header="0" w:footer="138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C9B6D">
    <w:pPr>
      <w:pStyle w:val="12"/>
      <w:spacing w:line="52" w:lineRule="auto"/>
      <w:rPr>
        <w:sz w:val="2"/>
      </w:rPr>
    </w:pPr>
    <w:r>
      <w:pict>
        <v:shape id="_x0000_s4097" o:spid="_x0000_s4097" style="position:absolute;left:0pt;margin-left:88.4pt;margin-top:780.7pt;height:0.25pt;width:418.5pt;mso-position-horizontal-relative:page;mso-position-vertical-relative:page;z-index:251659264;mso-width-relative:page;mso-height-relative:page;" filled="f" stroked="t" coordsize="8370,5" o:allowincell="f" path="m0,2l8369,2e">
          <v:fill on="f" focussize="0,0"/>
          <v:stroke joinstyle="miter"/>
          <v:imagedata o:title=""/>
          <o:lock v:ext="edit"/>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80A590">
    <w:pPr>
      <w:pStyle w:val="12"/>
      <w:spacing w:before="6" w:line="236" w:lineRule="exact"/>
      <w:ind w:left="4142"/>
      <w:rPr>
        <w:sz w:val="18"/>
        <w:szCs w:val="18"/>
      </w:rPr>
    </w:pPr>
    <w:r>
      <w:pict>
        <v:shape id="_x0000_s4098" o:spid="_x0000_s4098" style="position:absolute;left:0pt;margin-left:88.4pt;margin-top:760pt;height:0.25pt;width:418.5pt;mso-position-horizontal-relative:page;mso-position-vertical-relative:page;z-index:251660288;mso-width-relative:page;mso-height-relative:page;" filled="f" stroked="t" coordsize="8370,5" o:allowincell="f" path="m0,2l8370,2e">
          <v:fill on="f" focussize="0,0"/>
          <v:stroke joinstyle="miter"/>
          <v:imagedata o:title=""/>
          <o:lock v:ext="edit"/>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703916">
    <w:pPr>
      <w:pStyle w:val="12"/>
      <w:pBdr>
        <w:top w:val="none" w:color="auto" w:sz="0" w:space="0"/>
        <w:left w:val="none" w:color="auto" w:sz="0" w:space="0"/>
        <w:bottom w:val="none" w:color="auto" w:sz="0" w:space="0"/>
        <w:right w:val="none" w:color="auto" w:sz="0" w:space="0"/>
        <w:between w:val="none" w:color="auto" w:sz="0" w:space="0"/>
      </w:pBdr>
      <w:spacing w:before="6" w:line="236" w:lineRule="exact"/>
      <w:ind w:left="5155"/>
      <w:rPr>
        <w:sz w:val="18"/>
        <w:szCs w:val="18"/>
      </w:rPr>
    </w:pPr>
    <w:r>
      <w:pict>
        <v:shape id="_x0000_s4099" o:spid="_x0000_s4099" style="position:absolute;left:0pt;margin-left:88.4pt;margin-top:760pt;height:0.25pt;width:418.5pt;mso-position-horizontal-relative:page;mso-position-vertical-relative:page;z-index:251661312;mso-width-relative:page;mso-height-relative:page;" filled="f" stroked="t" coordsize="8370,5" o:allowincell="f" path="m0,2l8369,2e">
          <v:fill on="f" focussize="0,0"/>
          <v:stroke joinstyle="miter"/>
          <v:imagedata o:title=""/>
          <o:lock v:ext="edit"/>
        </v:shape>
      </w:pict>
    </w:r>
    <w:r>
      <w:rPr>
        <w:spacing w:val="-2"/>
        <w:position w:val="1"/>
        <w:sz w:val="18"/>
        <w:szCs w:val="18"/>
      </w:rPr>
      <w:t>28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5A0353B"/>
    <w:multiLevelType w:val="singleLevel"/>
    <w:tmpl w:val="D5A0353B"/>
    <w:lvl w:ilvl="0" w:tentative="0">
      <w:start w:val="1"/>
      <w:numFmt w:val="decimal"/>
      <w:suff w:val="nothing"/>
      <w:lvlText w:val="%1、"/>
      <w:lvlJc w:val="left"/>
    </w:lvl>
  </w:abstractNum>
  <w:abstractNum w:abstractNumId="2">
    <w:nsid w:val="451FDF0A"/>
    <w:multiLevelType w:val="singleLevel"/>
    <w:tmpl w:val="451FDF0A"/>
    <w:lvl w:ilvl="0" w:tentative="0">
      <w:start w:val="1"/>
      <w:numFmt w:val="decimal"/>
      <w:lvlText w:val="%1."/>
      <w:lvlJc w:val="left"/>
      <w:pPr>
        <w:ind w:left="425" w:hanging="425"/>
      </w:pPr>
      <w:rPr>
        <w:rFonts w:hint="default"/>
      </w:rPr>
    </w:lvl>
  </w:abstractNum>
  <w:abstractNum w:abstractNumId="3">
    <w:nsid w:val="65BFE11F"/>
    <w:multiLevelType w:val="singleLevel"/>
    <w:tmpl w:val="65BFE11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3C28DE"/>
    <w:rsid w:val="0ADD2F10"/>
    <w:rsid w:val="0B9E269F"/>
    <w:rsid w:val="0DBC505E"/>
    <w:rsid w:val="0E936295"/>
    <w:rsid w:val="10EB37C7"/>
    <w:rsid w:val="13FD1F2D"/>
    <w:rsid w:val="14C667C2"/>
    <w:rsid w:val="167F4CEB"/>
    <w:rsid w:val="1BAB05C5"/>
    <w:rsid w:val="1C922072"/>
    <w:rsid w:val="1D3544E5"/>
    <w:rsid w:val="21B93937"/>
    <w:rsid w:val="26E03714"/>
    <w:rsid w:val="270A0791"/>
    <w:rsid w:val="27451AA4"/>
    <w:rsid w:val="28033B5E"/>
    <w:rsid w:val="2A6428AE"/>
    <w:rsid w:val="2DC773DC"/>
    <w:rsid w:val="2F01691D"/>
    <w:rsid w:val="31AC744B"/>
    <w:rsid w:val="3477707F"/>
    <w:rsid w:val="351519AE"/>
    <w:rsid w:val="35810A97"/>
    <w:rsid w:val="36484E32"/>
    <w:rsid w:val="36C97D20"/>
    <w:rsid w:val="386677F1"/>
    <w:rsid w:val="398B5761"/>
    <w:rsid w:val="41036525"/>
    <w:rsid w:val="420460B1"/>
    <w:rsid w:val="42CD6DEA"/>
    <w:rsid w:val="44E43E1D"/>
    <w:rsid w:val="4C566E86"/>
    <w:rsid w:val="4CAE35EA"/>
    <w:rsid w:val="4D566987"/>
    <w:rsid w:val="4DEB6377"/>
    <w:rsid w:val="4E0968C3"/>
    <w:rsid w:val="4F473E9C"/>
    <w:rsid w:val="532F31A9"/>
    <w:rsid w:val="55E942E3"/>
    <w:rsid w:val="5744352C"/>
    <w:rsid w:val="59282B75"/>
    <w:rsid w:val="598F6750"/>
    <w:rsid w:val="5A407A4A"/>
    <w:rsid w:val="5D6C10C3"/>
    <w:rsid w:val="5E3C677A"/>
    <w:rsid w:val="64AB13D7"/>
    <w:rsid w:val="66544FA9"/>
    <w:rsid w:val="66651F75"/>
    <w:rsid w:val="69763488"/>
    <w:rsid w:val="69990F25"/>
    <w:rsid w:val="6CA4030D"/>
    <w:rsid w:val="6EB45521"/>
    <w:rsid w:val="6F237DBA"/>
    <w:rsid w:val="72BD0408"/>
    <w:rsid w:val="751653F3"/>
    <w:rsid w:val="77FC0FFD"/>
    <w:rsid w:val="79595874"/>
    <w:rsid w:val="7B0612A5"/>
    <w:rsid w:val="7B5A4FB8"/>
    <w:rsid w:val="7CB559F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character" w:customStyle="1" w:styleId="26">
    <w:name w:val="font11"/>
    <w:basedOn w:val="22"/>
    <w:qFormat/>
    <w:uiPriority w:val="0"/>
    <w:rPr>
      <w:rFonts w:hint="eastAsia" w:ascii="宋体" w:hAnsi="宋体" w:eastAsia="宋体" w:cs="宋体"/>
      <w:color w:val="000000"/>
      <w:sz w:val="16"/>
      <w:szCs w:val="16"/>
      <w:u w:val="none"/>
    </w:rPr>
  </w:style>
  <w:style w:type="paragraph" w:customStyle="1" w:styleId="27">
    <w:name w:val="柴_标题1"/>
    <w:basedOn w:val="2"/>
    <w:next w:val="28"/>
    <w:link w:val="39"/>
    <w:qFormat/>
    <w:uiPriority w:val="0"/>
    <w:pPr>
      <w:spacing w:before="100" w:after="90" w:line="360" w:lineRule="auto"/>
    </w:pPr>
    <w:rPr>
      <w:rFonts w:ascii="Arial" w:hAnsi="Arial" w:eastAsia="宋体"/>
      <w:sz w:val="32"/>
    </w:rPr>
  </w:style>
  <w:style w:type="paragraph" w:customStyle="1" w:styleId="28">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9">
    <w:name w:val="柴_标题2"/>
    <w:basedOn w:val="3"/>
    <w:next w:val="28"/>
    <w:qFormat/>
    <w:uiPriority w:val="0"/>
    <w:pPr>
      <w:spacing w:line="360" w:lineRule="auto"/>
    </w:pPr>
    <w:rPr>
      <w:rFonts w:ascii="Arial" w:hAnsi="Arial"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eastAsia="宋体" w:cs="宋体"/>
      <w:spacing w:val="-2"/>
      <w:sz w:val="24"/>
      <w:szCs w:val="24"/>
    </w:rPr>
  </w:style>
  <w:style w:type="paragraph" w:customStyle="1" w:styleId="31">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2">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3">
    <w:name w:val="柴_文档名"/>
    <w:basedOn w:val="19"/>
    <w:qFormat/>
    <w:uiPriority w:val="0"/>
    <w:pPr>
      <w:spacing w:after="900" w:afterLines="900"/>
    </w:pPr>
    <w:rPr>
      <w:rFonts w:ascii="黑体" w:hAnsi="黑体" w:eastAsia="黑体" w:cs="黑体"/>
      <w:bCs/>
      <w:spacing w:val="-7"/>
      <w:sz w:val="52"/>
      <w:szCs w:val="52"/>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24</Pages>
  <Words>9964</Words>
  <Characters>10663</Characters>
  <Lines>0</Lines>
  <Paragraphs>0</Paragraphs>
  <TotalTime>0</TotalTime>
  <ScaleCrop>false</ScaleCrop>
  <LinksUpToDate>false</LinksUpToDate>
  <CharactersWithSpaces>10990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2025-08-16T13:15:00Z</dcterms:created>
  <dc:creator>杜旭晖</dc:creator>
  <cp:lastModifiedBy>郝宇</cp:lastModifiedBy>
  <dcterms:modified xsi:type="dcterms:W3CDTF">2026-02-10T08:31:31Z</dcterms:modified>
  <dc:title>XXXX市电子政务安全防护系统技术方案建议书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2025-08-16T13:16:03Z</vt:filetime>
  </property>
  <property fmtid="{D5CDD505-2E9C-101B-9397-08002B2CF9AE}" pid="3" name="CRO">
    <vt:lpwstr>wqlLaW5nc29mdCBQREYgdG8gV1BTIDExNQ</vt:lpwstr>
  </property>
  <property fmtid="{D5CDD505-2E9C-101B-9397-08002B2CF9AE}" pid="4" name="ICV">
    <vt:lpwstr>DCC3C7A184964F008B43613826B1F13E_12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