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82A2E">
      <w:pPr>
        <w:pStyle w:val="32"/>
        <w:bidi w:val="0"/>
      </w:pPr>
    </w:p>
    <w:p w14:paraId="03BF0293">
      <w:pPr>
        <w:pStyle w:val="32"/>
        <w:bidi w:val="0"/>
      </w:pPr>
      <w:bookmarkStart w:id="0" w:name="_Toc3509"/>
      <w:r>
        <w:t>运维服务质量管理制度</w:t>
      </w:r>
      <w:bookmarkEnd w:id="0"/>
    </w:p>
    <w:p w14:paraId="43891730">
      <w:pPr>
        <w:pStyle w:val="33"/>
        <w:bidi w:val="0"/>
      </w:pPr>
      <w:bookmarkStart w:id="1" w:name="_Toc21313"/>
      <w:r>
        <w:t>中达丰集团有限公司</w:t>
      </w:r>
      <w:bookmarkEnd w:id="1"/>
    </w:p>
    <w:p w14:paraId="6CED4A26">
      <w:pPr>
        <w:spacing w:before="224" w:line="220" w:lineRule="auto"/>
        <w:ind w:left="2925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pacing w:val="-11"/>
          <w:sz w:val="36"/>
          <w:szCs w:val="36"/>
        </w:rPr>
        <w:t>2025年4月4日</w:t>
      </w:r>
    </w:p>
    <w:p w14:paraId="7A34DEFA">
      <w:pPr>
        <w:spacing w:line="220" w:lineRule="auto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7D39C7B7">
      <w:pPr>
        <w:spacing w:before="91" w:line="220" w:lineRule="auto"/>
        <w:ind w:left="3620"/>
        <w:outlineLvl w:val="0"/>
        <w:rPr>
          <w:rFonts w:ascii="宋体" w:hAnsi="宋体" w:eastAsia="宋体" w:cs="宋体"/>
          <w:sz w:val="28"/>
          <w:szCs w:val="28"/>
        </w:rPr>
      </w:pPr>
      <w:bookmarkStart w:id="2" w:name="_Toc25590"/>
      <w:r>
        <w:rPr>
          <w:rFonts w:ascii="宋体" w:hAnsi="宋体" w:eastAsia="宋体" w:cs="宋体"/>
          <w:spacing w:val="-3"/>
          <w:sz w:val="28"/>
          <w:szCs w:val="28"/>
        </w:rPr>
        <w:t>文档信息</w:t>
      </w:r>
      <w:bookmarkEnd w:id="2"/>
    </w:p>
    <w:tbl>
      <w:tblPr>
        <w:tblStyle w:val="24"/>
        <w:tblW w:w="8646" w:type="dxa"/>
        <w:tblInd w:w="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 w14:paraId="2B70D7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7C460AC1">
            <w:pPr>
              <w:spacing w:before="125" w:line="220" w:lineRule="auto"/>
              <w:ind w:left="13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文档名称编号</w:t>
            </w:r>
          </w:p>
        </w:tc>
        <w:tc>
          <w:tcPr>
            <w:tcW w:w="6942" w:type="dxa"/>
            <w:gridSpan w:val="4"/>
          </w:tcPr>
          <w:p w14:paraId="25579935">
            <w:pPr>
              <w:spacing w:before="125" w:line="218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运维服务质量管理制度（FWFWZLGL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-ITSS-ZJBG）</w:t>
            </w:r>
          </w:p>
        </w:tc>
      </w:tr>
      <w:tr w14:paraId="340F0E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BC10261">
            <w:pPr>
              <w:spacing w:before="122" w:line="220" w:lineRule="auto"/>
              <w:ind w:left="3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编制单位</w:t>
            </w:r>
          </w:p>
        </w:tc>
        <w:tc>
          <w:tcPr>
            <w:tcW w:w="6942" w:type="dxa"/>
            <w:gridSpan w:val="4"/>
          </w:tcPr>
          <w:p w14:paraId="2ABB060A">
            <w:pPr>
              <w:spacing w:before="122" w:line="219" w:lineRule="auto"/>
              <w:ind w:left="10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中达丰集团有限公司</w:t>
            </w:r>
          </w:p>
        </w:tc>
      </w:tr>
      <w:tr w14:paraId="5FC382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151375B2">
            <w:pPr>
              <w:spacing w:before="124" w:line="220" w:lineRule="auto"/>
              <w:ind w:left="3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文档密级</w:t>
            </w:r>
          </w:p>
        </w:tc>
        <w:tc>
          <w:tcPr>
            <w:tcW w:w="6942" w:type="dxa"/>
            <w:gridSpan w:val="4"/>
          </w:tcPr>
          <w:p w14:paraId="4DA81F88">
            <w:pPr>
              <w:spacing w:before="124" w:line="220" w:lineRule="auto"/>
              <w:ind w:left="10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秘密</w:t>
            </w:r>
          </w:p>
        </w:tc>
      </w:tr>
      <w:tr w14:paraId="4DF32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124E9A88">
            <w:pPr>
              <w:spacing w:before="125" w:line="219" w:lineRule="auto"/>
              <w:ind w:left="37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文档版本</w:t>
            </w:r>
          </w:p>
        </w:tc>
        <w:tc>
          <w:tcPr>
            <w:tcW w:w="1558" w:type="dxa"/>
          </w:tcPr>
          <w:p w14:paraId="6E17683C">
            <w:pPr>
              <w:spacing w:before="125" w:line="219" w:lineRule="auto"/>
              <w:ind w:left="30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版本日期</w:t>
            </w:r>
          </w:p>
        </w:tc>
        <w:tc>
          <w:tcPr>
            <w:tcW w:w="2123" w:type="dxa"/>
          </w:tcPr>
          <w:p w14:paraId="3402EF6E">
            <w:pPr>
              <w:spacing w:before="125" w:line="219" w:lineRule="auto"/>
              <w:ind w:left="5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版本说明</w:t>
            </w:r>
          </w:p>
        </w:tc>
        <w:tc>
          <w:tcPr>
            <w:tcW w:w="1699" w:type="dxa"/>
          </w:tcPr>
          <w:p w14:paraId="784DD226">
            <w:pPr>
              <w:spacing w:before="126" w:line="220" w:lineRule="auto"/>
              <w:ind w:left="55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作</w:t>
            </w:r>
            <w:r>
              <w:rPr>
                <w:rFonts w:ascii="宋体" w:hAnsi="宋体" w:eastAsia="宋体" w:cs="宋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者</w:t>
            </w:r>
          </w:p>
        </w:tc>
        <w:tc>
          <w:tcPr>
            <w:tcW w:w="1562" w:type="dxa"/>
          </w:tcPr>
          <w:p w14:paraId="2902C796">
            <w:pPr>
              <w:spacing w:before="126" w:line="220" w:lineRule="auto"/>
              <w:ind w:left="5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6"/>
                <w:sz w:val="24"/>
                <w:szCs w:val="24"/>
              </w:rPr>
              <w:t>审核</w:t>
            </w:r>
          </w:p>
        </w:tc>
      </w:tr>
      <w:tr w14:paraId="1C1B6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D4DEEB">
            <w:pPr>
              <w:spacing w:before="104" w:line="239" w:lineRule="auto"/>
              <w:ind w:left="63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V1.0</w:t>
            </w:r>
          </w:p>
        </w:tc>
        <w:tc>
          <w:tcPr>
            <w:tcW w:w="1558" w:type="dxa"/>
          </w:tcPr>
          <w:p w14:paraId="3EC509DA">
            <w:pPr>
              <w:spacing w:before="104"/>
              <w:ind w:left="362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2025-4-4</w:t>
            </w:r>
          </w:p>
        </w:tc>
        <w:tc>
          <w:tcPr>
            <w:tcW w:w="2123" w:type="dxa"/>
          </w:tcPr>
          <w:p w14:paraId="086DB0EC">
            <w:pPr>
              <w:spacing w:before="74" w:line="219" w:lineRule="auto"/>
              <w:ind w:left="64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发布版本</w:t>
            </w:r>
          </w:p>
        </w:tc>
        <w:tc>
          <w:tcPr>
            <w:tcW w:w="1699" w:type="dxa"/>
          </w:tcPr>
          <w:p w14:paraId="0C6957C0">
            <w:pPr>
              <w:spacing w:before="74" w:line="220" w:lineRule="auto"/>
              <w:ind w:left="542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李平</w:t>
            </w:r>
          </w:p>
        </w:tc>
        <w:tc>
          <w:tcPr>
            <w:tcW w:w="1562" w:type="dxa"/>
          </w:tcPr>
          <w:p w14:paraId="33941DAC">
            <w:pPr>
              <w:spacing w:before="75" w:line="220" w:lineRule="auto"/>
              <w:ind w:left="482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吴向阳</w:t>
            </w:r>
          </w:p>
        </w:tc>
      </w:tr>
      <w:tr w14:paraId="768BA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C8AA584">
            <w:pPr>
              <w:pStyle w:val="25"/>
            </w:pPr>
          </w:p>
        </w:tc>
        <w:tc>
          <w:tcPr>
            <w:tcW w:w="1558" w:type="dxa"/>
          </w:tcPr>
          <w:p w14:paraId="3A1C1CCB">
            <w:pPr>
              <w:pStyle w:val="25"/>
            </w:pPr>
          </w:p>
        </w:tc>
        <w:tc>
          <w:tcPr>
            <w:tcW w:w="2123" w:type="dxa"/>
          </w:tcPr>
          <w:p w14:paraId="5A98124B">
            <w:pPr>
              <w:pStyle w:val="25"/>
            </w:pPr>
          </w:p>
        </w:tc>
        <w:tc>
          <w:tcPr>
            <w:tcW w:w="1699" w:type="dxa"/>
          </w:tcPr>
          <w:p w14:paraId="06436722">
            <w:pPr>
              <w:pStyle w:val="25"/>
            </w:pPr>
          </w:p>
        </w:tc>
        <w:tc>
          <w:tcPr>
            <w:tcW w:w="1562" w:type="dxa"/>
          </w:tcPr>
          <w:p w14:paraId="3FA9E85B">
            <w:pPr>
              <w:pStyle w:val="25"/>
            </w:pPr>
          </w:p>
        </w:tc>
      </w:tr>
      <w:tr w14:paraId="41DE78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C621C77">
            <w:pPr>
              <w:pStyle w:val="25"/>
            </w:pPr>
          </w:p>
        </w:tc>
        <w:tc>
          <w:tcPr>
            <w:tcW w:w="1558" w:type="dxa"/>
          </w:tcPr>
          <w:p w14:paraId="7B2C7E29">
            <w:pPr>
              <w:pStyle w:val="25"/>
            </w:pPr>
          </w:p>
        </w:tc>
        <w:tc>
          <w:tcPr>
            <w:tcW w:w="2123" w:type="dxa"/>
          </w:tcPr>
          <w:p w14:paraId="160E8E84">
            <w:pPr>
              <w:pStyle w:val="25"/>
            </w:pPr>
          </w:p>
        </w:tc>
        <w:tc>
          <w:tcPr>
            <w:tcW w:w="1699" w:type="dxa"/>
          </w:tcPr>
          <w:p w14:paraId="787EFD41">
            <w:pPr>
              <w:pStyle w:val="25"/>
            </w:pPr>
          </w:p>
        </w:tc>
        <w:tc>
          <w:tcPr>
            <w:tcW w:w="1562" w:type="dxa"/>
          </w:tcPr>
          <w:p w14:paraId="3DC15AEB">
            <w:pPr>
              <w:pStyle w:val="25"/>
            </w:pPr>
          </w:p>
        </w:tc>
      </w:tr>
      <w:tr w14:paraId="7EA9CD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1704" w:type="dxa"/>
          </w:tcPr>
          <w:p w14:paraId="5693E808">
            <w:pPr>
              <w:pStyle w:val="25"/>
            </w:pPr>
          </w:p>
        </w:tc>
        <w:tc>
          <w:tcPr>
            <w:tcW w:w="1558" w:type="dxa"/>
          </w:tcPr>
          <w:p w14:paraId="76A724B5">
            <w:pPr>
              <w:pStyle w:val="25"/>
            </w:pPr>
          </w:p>
        </w:tc>
        <w:tc>
          <w:tcPr>
            <w:tcW w:w="2123" w:type="dxa"/>
          </w:tcPr>
          <w:p w14:paraId="6C02406A">
            <w:pPr>
              <w:pStyle w:val="25"/>
            </w:pPr>
          </w:p>
        </w:tc>
        <w:tc>
          <w:tcPr>
            <w:tcW w:w="1699" w:type="dxa"/>
          </w:tcPr>
          <w:p w14:paraId="1BF81BB5">
            <w:pPr>
              <w:pStyle w:val="25"/>
            </w:pPr>
          </w:p>
        </w:tc>
        <w:tc>
          <w:tcPr>
            <w:tcW w:w="1562" w:type="dxa"/>
          </w:tcPr>
          <w:p w14:paraId="42C151FB">
            <w:pPr>
              <w:pStyle w:val="25"/>
            </w:pPr>
          </w:p>
        </w:tc>
      </w:tr>
      <w:tr w14:paraId="06DC9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6E956A89">
            <w:pPr>
              <w:pStyle w:val="25"/>
            </w:pPr>
          </w:p>
        </w:tc>
        <w:tc>
          <w:tcPr>
            <w:tcW w:w="1558" w:type="dxa"/>
          </w:tcPr>
          <w:p w14:paraId="4EE58C68">
            <w:pPr>
              <w:pStyle w:val="25"/>
            </w:pPr>
          </w:p>
        </w:tc>
        <w:tc>
          <w:tcPr>
            <w:tcW w:w="2123" w:type="dxa"/>
          </w:tcPr>
          <w:p w14:paraId="388DEC14">
            <w:pPr>
              <w:pStyle w:val="25"/>
            </w:pPr>
          </w:p>
        </w:tc>
        <w:tc>
          <w:tcPr>
            <w:tcW w:w="1699" w:type="dxa"/>
          </w:tcPr>
          <w:p w14:paraId="0660E9EC">
            <w:pPr>
              <w:pStyle w:val="25"/>
            </w:pPr>
          </w:p>
        </w:tc>
        <w:tc>
          <w:tcPr>
            <w:tcW w:w="1562" w:type="dxa"/>
          </w:tcPr>
          <w:p w14:paraId="31C28C85">
            <w:pPr>
              <w:pStyle w:val="25"/>
            </w:pPr>
          </w:p>
        </w:tc>
      </w:tr>
    </w:tbl>
    <w:p w14:paraId="33626584">
      <w:pPr>
        <w:pStyle w:val="12"/>
      </w:pPr>
    </w:p>
    <w:p w14:paraId="690238FE">
      <w:pPr>
        <w:sectPr>
          <w:pgSz w:w="11906" w:h="16839"/>
          <w:pgMar w:top="1431" w:right="1440" w:bottom="0" w:left="1785" w:header="0" w:footer="0" w:gutter="0"/>
          <w:cols w:space="720" w:num="1"/>
        </w:sect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7262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</w:sdtEndPr>
      <w:sdtContent>
        <w:p w14:paraId="6AA451C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51449B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 w:val="24"/>
              <w:szCs w:val="24"/>
            </w:rPr>
            <w:fldChar w:fldCharType="begin"/>
          </w:r>
          <w:r>
            <w:rPr>
              <w:rFonts w:ascii="Calibri" w:hAnsi="Calibri" w:eastAsia="Calibri" w:cs="Calibri"/>
              <w:sz w:val="24"/>
              <w:szCs w:val="24"/>
            </w:rPr>
            <w:instrText xml:space="preserve">TOC \o "1-3" \h \u </w:instrText>
          </w:r>
          <w:r>
            <w:rPr>
              <w:rFonts w:ascii="Calibri" w:hAnsi="Calibri" w:eastAsia="Calibri" w:cs="Calibri"/>
              <w:sz w:val="24"/>
              <w:szCs w:val="24"/>
            </w:rPr>
            <w:fldChar w:fldCharType="separate"/>
          </w: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_Toc3509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t>运维服务质量管理制度</w:t>
          </w:r>
          <w:r>
            <w:tab/>
          </w:r>
          <w:r>
            <w:fldChar w:fldCharType="begin"/>
          </w:r>
          <w:r>
            <w:instrText xml:space="preserve"> PAGEREF _Toc3509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471DF47B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_Toc21313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_Toc21313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9BD4288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_Toc25590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3"/>
              <w:szCs w:val="28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_Toc25590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4C4B85AD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_Toc26808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A5566A5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_Toc25852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_Toc25852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1AFCBFC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_Toc771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引用文件</w:t>
          </w:r>
          <w:r>
            <w:tab/>
          </w:r>
          <w:r>
            <w:fldChar w:fldCharType="begin"/>
          </w:r>
          <w:r>
            <w:instrText xml:space="preserve"> PAGEREF _Toc771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58AF90C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_Toc6439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_Toc6439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5BFE438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_Toc19457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角色与职责</w:t>
          </w:r>
          <w:r>
            <w:tab/>
          </w:r>
          <w:r>
            <w:fldChar w:fldCharType="begin"/>
          </w:r>
          <w:r>
            <w:instrText xml:space="preserve"> PAGEREF _Toc19457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A5D9D21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_Toc16851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4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_Toc16851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5FB98AF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_Toc10928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部门岗位</w:t>
          </w:r>
          <w:r>
            <w:tab/>
          </w:r>
          <w:r>
            <w:fldChar w:fldCharType="begin"/>
          </w:r>
          <w:r>
            <w:instrText xml:space="preserve"> PAGEREF _Toc10928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418F867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_Toc28876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6.1. </w:t>
          </w:r>
          <w:r>
            <w:t>公司高层</w:t>
          </w:r>
          <w:r>
            <w:tab/>
          </w:r>
          <w:r>
            <w:fldChar w:fldCharType="begin"/>
          </w:r>
          <w:r>
            <w:instrText xml:space="preserve"> PAGEREF _Toc28876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4D19C93A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_Toc15694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6.2. </w:t>
          </w:r>
          <w:r>
            <w:t>质量部</w:t>
          </w:r>
          <w:r>
            <w:tab/>
          </w:r>
          <w:r>
            <w:fldChar w:fldCharType="begin"/>
          </w:r>
          <w:r>
            <w:instrText xml:space="preserve"> PAGEREF _Toc15694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3108FD6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_Toc22647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6.3. </w:t>
          </w:r>
          <w:r>
            <w:t>运维部</w:t>
          </w:r>
          <w:r>
            <w:tab/>
          </w:r>
          <w:r>
            <w:fldChar w:fldCharType="begin"/>
          </w:r>
          <w:r>
            <w:instrText xml:space="preserve"> PAGEREF _Toc22647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067A98F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_Toc11615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6.4. </w:t>
          </w:r>
          <w:r>
            <w:t>服务台</w:t>
          </w:r>
          <w:r>
            <w:tab/>
          </w:r>
          <w:r>
            <w:fldChar w:fldCharType="begin"/>
          </w:r>
          <w:r>
            <w:instrText xml:space="preserve"> PAGEREF _Toc11615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E9EBC29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_Toc560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6.5. </w:t>
          </w:r>
          <w:r>
            <w:t>运维服务人员</w:t>
          </w:r>
          <w:r>
            <w:tab/>
          </w:r>
          <w:r>
            <w:fldChar w:fldCharType="begin"/>
          </w:r>
          <w:r>
            <w:instrText xml:space="preserve"> PAGEREF _Toc560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06A1F451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_Toc29967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质量管理内容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F13981A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_Toc17581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7.1. </w:t>
          </w:r>
          <w:r>
            <w:t>高层的质量管理活动</w:t>
          </w:r>
          <w:r>
            <w:tab/>
          </w:r>
          <w:r>
            <w:fldChar w:fldCharType="begin"/>
          </w:r>
          <w:r>
            <w:instrText xml:space="preserve"> PAGEREF _Toc17581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5D6BD6DB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_Toc10382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7.2. </w:t>
          </w:r>
          <w:r>
            <w:t>质量部的质量管理活动</w:t>
          </w:r>
          <w:r>
            <w:tab/>
          </w:r>
          <w:r>
            <w:fldChar w:fldCharType="begin"/>
          </w:r>
          <w:r>
            <w:instrText xml:space="preserve"> PAGEREF _Toc10382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6B358F6D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_Toc25193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7.3. </w:t>
          </w:r>
          <w:r>
            <w:t>运维部的质量管理活动</w:t>
          </w:r>
          <w:r>
            <w:tab/>
          </w:r>
          <w:r>
            <w:fldChar w:fldCharType="begin"/>
          </w:r>
          <w:r>
            <w:instrText xml:space="preserve"> PAGEREF _Toc25193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78ED05F">
          <w:pPr>
            <w:pStyle w:val="16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_Toc11091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 </w:t>
          </w:r>
          <w:r>
            <w:t>运维服务质量管理要求</w:t>
          </w:r>
          <w:r>
            <w:tab/>
          </w:r>
          <w:r>
            <w:fldChar w:fldCharType="begin"/>
          </w:r>
          <w:r>
            <w:instrText xml:space="preserve"> PAGEREF _Toc11091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11F48D1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_Toc14425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8.1. </w:t>
          </w:r>
          <w:r>
            <w:t>客户满意度调查要求</w:t>
          </w:r>
          <w:r>
            <w:tab/>
          </w:r>
          <w:r>
            <w:fldChar w:fldCharType="begin"/>
          </w:r>
          <w:r>
            <w:instrText xml:space="preserve"> PAGEREF _Toc14425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7D39217C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_Toc14439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8.2. </w:t>
          </w:r>
          <w:r>
            <w:t>项目的质量管理要求</w:t>
          </w:r>
          <w:r>
            <w:tab/>
          </w:r>
          <w:r>
            <w:fldChar w:fldCharType="begin"/>
          </w:r>
          <w:r>
            <w:instrText xml:space="preserve"> PAGEREF _Toc14439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4739B23">
          <w:pPr>
            <w:pStyle w:val="17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_Toc26506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 </w:t>
          </w:r>
          <w:r>
            <w:t>体系的质量管理要求</w:t>
          </w:r>
          <w:r>
            <w:tab/>
          </w:r>
          <w:r>
            <w:fldChar w:fldCharType="begin"/>
          </w:r>
          <w:r>
            <w:instrText xml:space="preserve"> PAGEREF _Toc26506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2DEE39DF">
          <w:pPr>
            <w:pStyle w:val="13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_Toc7725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8.3.1. </w:t>
          </w:r>
          <w:r>
            <w:t>内审要求</w:t>
          </w:r>
          <w:r>
            <w:tab/>
          </w:r>
          <w:r>
            <w:fldChar w:fldCharType="begin"/>
          </w:r>
          <w:r>
            <w:instrText xml:space="preserve"> PAGEREF _Toc7725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34B28BB6">
          <w:pPr>
            <w:pStyle w:val="13"/>
            <w:tabs>
              <w:tab w:val="right" w:leader="dot" w:pos="8492"/>
            </w:tabs>
          </w:pPr>
          <w:r>
            <w:rPr>
              <w:rFonts w:ascii="Calibri" w:hAnsi="Calibri" w:eastAsia="Calibri" w:cs="Calibri"/>
              <w:szCs w:val="24"/>
            </w:rPr>
            <w:fldChar w:fldCharType="begin"/>
          </w:r>
          <w:r>
            <w:rPr>
              <w:rFonts w:ascii="Calibri" w:hAnsi="Calibri" w:eastAsia="Calibri" w:cs="Calibri"/>
              <w:szCs w:val="24"/>
            </w:rPr>
            <w:instrText xml:space="preserve"> HYPERLINK \l _Toc30797 </w:instrText>
          </w:r>
          <w:r>
            <w:rPr>
              <w:rFonts w:ascii="Calibri" w:hAnsi="Calibri" w:eastAsia="Calibri" w:cs="Calibri"/>
              <w:szCs w:val="24"/>
            </w:rPr>
            <w:fldChar w:fldCharType="separate"/>
          </w:r>
          <w:r>
            <w:rPr>
              <w:rFonts w:hint="default"/>
            </w:rPr>
            <w:t xml:space="preserve">8.3.2. </w:t>
          </w:r>
          <w:r>
            <w:t>管理评审要求</w:t>
          </w:r>
          <w:r>
            <w:tab/>
          </w:r>
          <w:r>
            <w:fldChar w:fldCharType="begin"/>
          </w:r>
          <w:r>
            <w:instrText xml:space="preserve"> PAGEREF _Toc30797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Calibri" w:hAnsi="Calibri" w:eastAsia="Calibri" w:cs="Calibri"/>
              <w:szCs w:val="24"/>
            </w:rPr>
            <w:fldChar w:fldCharType="end"/>
          </w:r>
        </w:p>
        <w:p w14:paraId="1EF21F0C">
          <w:pPr>
            <w:spacing w:line="327" w:lineRule="exact"/>
            <w:rPr>
              <w:rFonts w:ascii="Calibri" w:hAnsi="Calibri" w:eastAsia="Calibri" w:cs="Calibri"/>
              <w:snapToGrid w:val="0"/>
              <w:color w:val="000000"/>
              <w:kern w:val="0"/>
              <w:sz w:val="21"/>
              <w:szCs w:val="24"/>
              <w:lang w:val="en-US" w:eastAsia="en-US" w:bidi="ar-SA"/>
            </w:rPr>
          </w:pPr>
          <w:r>
            <w:rPr>
              <w:rFonts w:ascii="Calibri" w:hAnsi="Calibri" w:eastAsia="Calibri" w:cs="Calibri"/>
              <w:szCs w:val="24"/>
            </w:rPr>
            <w:fldChar w:fldCharType="end"/>
          </w:r>
        </w:p>
      </w:sdtContent>
    </w:sdt>
    <w:p w14:paraId="12D463A8">
      <w:pPr>
        <w:spacing w:line="327" w:lineRule="exact"/>
        <w:rPr>
          <w:rFonts w:ascii="Calibri" w:hAnsi="Calibri" w:eastAsia="Calibri" w:cs="Calibri"/>
          <w:snapToGrid w:val="0"/>
          <w:color w:val="000000"/>
          <w:kern w:val="0"/>
          <w:sz w:val="21"/>
          <w:szCs w:val="24"/>
          <w:lang w:val="en-US" w:eastAsia="en-US" w:bidi="ar-SA"/>
        </w:rPr>
        <w:sectPr>
          <w:pgSz w:w="11906" w:h="16839"/>
          <w:pgMar w:top="1431" w:right="1710" w:bottom="0" w:left="1704" w:header="0" w:footer="0" w:gutter="0"/>
          <w:cols w:space="720" w:num="1"/>
        </w:sectPr>
      </w:pPr>
    </w:p>
    <w:p w14:paraId="4EDDFA73">
      <w:pPr>
        <w:pStyle w:val="26"/>
        <w:bidi w:val="0"/>
      </w:pPr>
      <w:bookmarkStart w:id="3" w:name="_Toc26808"/>
      <w:r>
        <w:t>目的</w:t>
      </w:r>
      <w:bookmarkEnd w:id="3"/>
    </w:p>
    <w:p w14:paraId="19E1B252">
      <w:pPr>
        <w:pStyle w:val="27"/>
        <w:bidi w:val="0"/>
      </w:pPr>
      <w:r>
        <w:t>为确保公司提供的运维服务满足客户所需的服务质量，寻找公司服务实施过程中存在的问题和缺陷，为服务改进活动的有效实施提供目标和方向，保证组织的服务质量稳定可控并持续提升，特制订本制度。</w:t>
      </w:r>
    </w:p>
    <w:p w14:paraId="5B250F0F">
      <w:pPr>
        <w:pStyle w:val="26"/>
        <w:bidi w:val="0"/>
      </w:pPr>
      <w:bookmarkStart w:id="4" w:name="_Toc25852"/>
      <w:r>
        <w:t>适用范围</w:t>
      </w:r>
      <w:bookmarkEnd w:id="4"/>
    </w:p>
    <w:p w14:paraId="245B42A8">
      <w:pPr>
        <w:pStyle w:val="27"/>
        <w:bidi w:val="0"/>
      </w:pPr>
      <w:r>
        <w:t>本程序适用于中达丰集团有限公司运维服务业务，用于服务实施全过程的检查与审计。</w:t>
      </w:r>
    </w:p>
    <w:p w14:paraId="6EC40CDC">
      <w:pPr>
        <w:pStyle w:val="26"/>
        <w:bidi w:val="0"/>
      </w:pPr>
      <w:bookmarkStart w:id="5" w:name="_Toc771"/>
      <w:r>
        <w:t>引用文件</w:t>
      </w:r>
      <w:bookmarkEnd w:id="5"/>
    </w:p>
    <w:p w14:paraId="30A2804D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eastAsia"/>
        </w:rPr>
        <w:t>T/CESA 1299—2023</w:t>
      </w:r>
      <w:r>
        <w:t>《信息技术服务 运行维护服务能力成熟度模型》</w:t>
      </w:r>
    </w:p>
    <w:p w14:paraId="1F258510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28827.1-2022《信息技术服务 运行维护 第 1 部分：通用要求》</w:t>
      </w:r>
    </w:p>
    <w:p w14:paraId="06632E52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29264-2012《信息技术服务 分类与代码》</w:t>
      </w:r>
    </w:p>
    <w:p w14:paraId="17BC4B31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28827.2-2012《信息技术服务 运行维护 第 2 部分:交付规范》</w:t>
      </w:r>
    </w:p>
    <w:p w14:paraId="65E8D66A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GB/T 28827.3-2012《信息技术服务 运行维护 第 3 部分:应急响应规范》</w:t>
      </w:r>
    </w:p>
    <w:p w14:paraId="1F6C641F">
      <w:pPr>
        <w:pStyle w:val="27"/>
        <w:numPr>
          <w:ilvl w:val="0"/>
          <w:numId w:val="2"/>
        </w:numPr>
        <w:bidi w:val="0"/>
        <w:ind w:left="425" w:leftChars="0" w:hanging="425" w:firstLineChars="0"/>
      </w:pPr>
      <w:r>
        <w:t>国家有关法律、法规及行业标准</w:t>
      </w:r>
    </w:p>
    <w:p w14:paraId="5F5ED8EB">
      <w:pPr>
        <w:pStyle w:val="26"/>
        <w:bidi w:val="0"/>
      </w:pPr>
      <w:bookmarkStart w:id="6" w:name="_Toc6439"/>
      <w:r>
        <w:t>术语与定义</w:t>
      </w:r>
      <w:bookmarkEnd w:id="6"/>
    </w:p>
    <w:p w14:paraId="02A131C0">
      <w:pPr>
        <w:spacing w:before="172" w:line="220" w:lineRule="auto"/>
        <w:ind w:left="505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</w:t>
      </w:r>
    </w:p>
    <w:p w14:paraId="28B23727">
      <w:pPr>
        <w:pStyle w:val="26"/>
        <w:bidi w:val="0"/>
      </w:pPr>
      <w:bookmarkStart w:id="7" w:name="_Toc19457"/>
      <w:r>
        <w:t>角色与职责</w:t>
      </w:r>
      <w:bookmarkEnd w:id="7"/>
    </w:p>
    <w:p w14:paraId="69A144A0">
      <w:pPr>
        <w:spacing w:before="128"/>
      </w:pPr>
    </w:p>
    <w:tbl>
      <w:tblPr>
        <w:tblStyle w:val="24"/>
        <w:tblW w:w="7655" w:type="dxa"/>
        <w:tblInd w:w="5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4"/>
        <w:gridCol w:w="6301"/>
      </w:tblGrid>
      <w:tr w14:paraId="2133C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354" w:type="dxa"/>
            <w:shd w:val="clear" w:color="auto" w:fill="F2F2F2"/>
          </w:tcPr>
          <w:p w14:paraId="782AD787">
            <w:pPr>
              <w:spacing w:before="60" w:line="219" w:lineRule="auto"/>
              <w:ind w:left="44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角色</w:t>
            </w:r>
          </w:p>
        </w:tc>
        <w:tc>
          <w:tcPr>
            <w:tcW w:w="6301" w:type="dxa"/>
            <w:shd w:val="clear" w:color="auto" w:fill="F2F2F2"/>
          </w:tcPr>
          <w:p w14:paraId="10EEAB0F">
            <w:pPr>
              <w:spacing w:before="61" w:line="221" w:lineRule="auto"/>
              <w:ind w:left="291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职责</w:t>
            </w:r>
          </w:p>
        </w:tc>
      </w:tr>
      <w:tr w14:paraId="6ED34B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1354" w:type="dxa"/>
          </w:tcPr>
          <w:p w14:paraId="4EA988CA">
            <w:pPr>
              <w:pStyle w:val="25"/>
              <w:spacing w:line="257" w:lineRule="auto"/>
            </w:pPr>
            <w:bookmarkStart w:id="29" w:name="_GoBack"/>
          </w:p>
          <w:p w14:paraId="0300B76F">
            <w:pPr>
              <w:pStyle w:val="25"/>
              <w:spacing w:line="257" w:lineRule="auto"/>
            </w:pPr>
          </w:p>
          <w:bookmarkEnd w:id="29"/>
          <w:p w14:paraId="3BBE947F">
            <w:pPr>
              <w:spacing w:before="78" w:line="220" w:lineRule="auto"/>
              <w:ind w:left="11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管理层</w:t>
            </w:r>
          </w:p>
        </w:tc>
        <w:tc>
          <w:tcPr>
            <w:tcW w:w="6301" w:type="dxa"/>
          </w:tcPr>
          <w:p w14:paraId="2F6BF5CC">
            <w:pPr>
              <w:numPr>
                <w:ilvl w:val="0"/>
                <w:numId w:val="3"/>
              </w:numPr>
              <w:spacing w:before="64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负责审批年度服务能力管理计划。</w:t>
            </w:r>
          </w:p>
          <w:p w14:paraId="59E0ED63">
            <w:pPr>
              <w:numPr>
                <w:ilvl w:val="0"/>
                <w:numId w:val="3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定期对服务实施过程和服务实施过程的改进进行监控管理。</w:t>
            </w:r>
          </w:p>
          <w:p w14:paraId="27631878">
            <w:pPr>
              <w:numPr>
                <w:ilvl w:val="0"/>
                <w:numId w:val="3"/>
              </w:numPr>
              <w:spacing w:before="105" w:line="271" w:lineRule="auto"/>
              <w:ind w:left="425" w:leftChars="0" w:right="27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负责公司运维服务体系的管理评审，以确保运维服务能力的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适应性和有效性。</w:t>
            </w:r>
          </w:p>
        </w:tc>
      </w:tr>
      <w:tr w14:paraId="2E4E59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1354" w:type="dxa"/>
            <w:shd w:val="clear" w:color="auto" w:fill="auto"/>
          </w:tcPr>
          <w:p w14:paraId="5D588EEE">
            <w:pPr>
              <w:pStyle w:val="25"/>
              <w:spacing w:line="252" w:lineRule="auto"/>
            </w:pPr>
          </w:p>
          <w:p w14:paraId="0F4881D1">
            <w:pPr>
              <w:pStyle w:val="25"/>
              <w:spacing w:line="252" w:lineRule="auto"/>
            </w:pPr>
          </w:p>
          <w:p w14:paraId="57162C4C">
            <w:pPr>
              <w:pStyle w:val="25"/>
              <w:spacing w:line="252" w:lineRule="auto"/>
            </w:pPr>
          </w:p>
          <w:p w14:paraId="17BB8749">
            <w:pPr>
              <w:pStyle w:val="25"/>
              <w:spacing w:line="252" w:lineRule="auto"/>
            </w:pPr>
          </w:p>
          <w:p w14:paraId="0093982B">
            <w:pPr>
              <w:pStyle w:val="25"/>
              <w:spacing w:line="252" w:lineRule="auto"/>
            </w:pPr>
          </w:p>
          <w:p w14:paraId="15EF3826">
            <w:pPr>
              <w:pStyle w:val="25"/>
              <w:spacing w:line="253" w:lineRule="auto"/>
            </w:pPr>
          </w:p>
          <w:p w14:paraId="09A890D8">
            <w:pPr>
              <w:pStyle w:val="25"/>
              <w:spacing w:line="253" w:lineRule="auto"/>
            </w:pPr>
          </w:p>
          <w:p w14:paraId="481159CD">
            <w:pPr>
              <w:spacing w:before="78" w:line="220" w:lineRule="auto"/>
              <w:ind w:left="113" w:leftChars="0"/>
              <w:outlineLvl w:val="1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bookmarkStart w:id="8" w:name="_Toc16851"/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质量部</w:t>
            </w:r>
            <w:bookmarkEnd w:id="8"/>
          </w:p>
        </w:tc>
        <w:tc>
          <w:tcPr>
            <w:tcW w:w="6301" w:type="dxa"/>
            <w:shd w:val="clear" w:color="auto" w:fill="auto"/>
          </w:tcPr>
          <w:p w14:paraId="382DD987">
            <w:pPr>
              <w:numPr>
                <w:ilvl w:val="0"/>
                <w:numId w:val="4"/>
              </w:numPr>
              <w:spacing w:before="67" w:line="272" w:lineRule="auto"/>
              <w:ind w:left="425" w:leftChars="0" w:right="27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负责运维服务的公司级质量保证，制定总体的服务质量管理</w:t>
            </w:r>
            <w:r>
              <w:rPr>
                <w:rFonts w:ascii="宋体" w:hAnsi="宋体" w:eastAsia="宋体" w:cs="宋体"/>
                <w:spacing w:val="-9"/>
                <w:sz w:val="21"/>
                <w:szCs w:val="21"/>
              </w:rPr>
              <w:t>计划。</w:t>
            </w:r>
          </w:p>
          <w:p w14:paraId="4D605860">
            <w:pPr>
              <w:numPr>
                <w:ilvl w:val="0"/>
                <w:numId w:val="4"/>
              </w:numPr>
              <w:spacing w:before="100" w:line="270" w:lineRule="auto"/>
              <w:ind w:left="425" w:leftChars="0" w:right="101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监控运维服务质量,</w:t>
            </w:r>
            <w:r>
              <w:rPr>
                <w:rFonts w:ascii="宋体" w:hAnsi="宋体" w:eastAsia="宋体" w:cs="宋体"/>
                <w:spacing w:val="38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定期组织质量分析会议，对运维业务开</w:t>
            </w: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展情况进行评估。</w:t>
            </w:r>
          </w:p>
          <w:p w14:paraId="686A708A">
            <w:pPr>
              <w:numPr>
                <w:ilvl w:val="0"/>
                <w:numId w:val="4"/>
              </w:numPr>
              <w:spacing w:before="102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对公司运维服务业务的质量进行监控。</w:t>
            </w:r>
          </w:p>
          <w:p w14:paraId="60BD4C76">
            <w:pPr>
              <w:numPr>
                <w:ilvl w:val="0"/>
                <w:numId w:val="4"/>
              </w:numPr>
              <w:spacing w:before="105" w:line="271" w:lineRule="auto"/>
              <w:ind w:left="425" w:leftChars="0" w:right="27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负责公司运维服务体系的定期内部评审，对内审中不符合项</w:t>
            </w:r>
            <w:r>
              <w:rPr>
                <w:rFonts w:ascii="宋体" w:hAnsi="宋体" w:eastAsia="宋体" w:cs="宋体"/>
                <w:spacing w:val="-6"/>
                <w:sz w:val="21"/>
                <w:szCs w:val="21"/>
              </w:rPr>
              <w:t>的处理进行跟踪记录。</w:t>
            </w:r>
          </w:p>
          <w:p w14:paraId="3070BE37">
            <w:pPr>
              <w:numPr>
                <w:ilvl w:val="0"/>
                <w:numId w:val="4"/>
              </w:numPr>
              <w:spacing w:before="100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负责改进措施的监督及检查。</w:t>
            </w:r>
          </w:p>
          <w:p w14:paraId="79A25A4F">
            <w:pPr>
              <w:numPr>
                <w:ilvl w:val="0"/>
                <w:numId w:val="4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对重大投诉进行原因分析、处理和回访。</w:t>
            </w:r>
          </w:p>
          <w:p w14:paraId="6DD7E69D">
            <w:pPr>
              <w:numPr>
                <w:ilvl w:val="0"/>
                <w:numId w:val="4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对每年运维服务报告进行审查。</w:t>
            </w:r>
          </w:p>
          <w:p w14:paraId="18E32436">
            <w:pPr>
              <w:numPr>
                <w:ilvl w:val="0"/>
                <w:numId w:val="4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负责客户满意度调查。</w:t>
            </w:r>
          </w:p>
        </w:tc>
      </w:tr>
      <w:tr w14:paraId="3F6A52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0" w:type="auto"/>
            <w:shd w:val="clear" w:color="auto" w:fill="auto"/>
          </w:tcPr>
          <w:p w14:paraId="62E5113F">
            <w:pPr>
              <w:pStyle w:val="25"/>
              <w:spacing w:line="252" w:lineRule="auto"/>
            </w:pPr>
          </w:p>
          <w:p w14:paraId="0323C9F7">
            <w:pPr>
              <w:pStyle w:val="25"/>
              <w:spacing w:line="252" w:lineRule="auto"/>
            </w:pPr>
          </w:p>
          <w:p w14:paraId="11899165">
            <w:pPr>
              <w:pStyle w:val="25"/>
              <w:spacing w:line="252" w:lineRule="auto"/>
            </w:pPr>
          </w:p>
          <w:p w14:paraId="5833FC8E">
            <w:pPr>
              <w:pStyle w:val="25"/>
              <w:spacing w:line="252" w:lineRule="auto"/>
            </w:pPr>
          </w:p>
          <w:p w14:paraId="6E27FB5A">
            <w:pPr>
              <w:pStyle w:val="25"/>
              <w:spacing w:line="252" w:lineRule="auto"/>
            </w:pPr>
          </w:p>
          <w:p w14:paraId="57642313">
            <w:pPr>
              <w:pStyle w:val="25"/>
              <w:spacing w:line="252" w:lineRule="auto"/>
            </w:pPr>
          </w:p>
          <w:p w14:paraId="77D70204">
            <w:pPr>
              <w:pStyle w:val="25"/>
              <w:spacing w:line="253" w:lineRule="auto"/>
            </w:pPr>
          </w:p>
          <w:p w14:paraId="58FD6650">
            <w:pPr>
              <w:spacing w:before="78" w:line="278" w:lineRule="auto"/>
              <w:ind w:left="114" w:leftChars="0" w:right="280" w:rightChars="0" w:hanging="2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运维部</w:t>
            </w:r>
          </w:p>
        </w:tc>
        <w:tc>
          <w:tcPr>
            <w:tcW w:w="0" w:type="auto"/>
            <w:shd w:val="clear" w:color="auto" w:fill="auto"/>
          </w:tcPr>
          <w:p w14:paraId="7B45C9CF">
            <w:pPr>
              <w:numPr>
                <w:ilvl w:val="0"/>
                <w:numId w:val="5"/>
              </w:numPr>
              <w:spacing w:before="66" w:line="271" w:lineRule="auto"/>
              <w:ind w:left="425" w:leftChars="0" w:right="165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负责对所运维业务进行质量控制,对质量部和服务台提供的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客户服务质量调查结果进行分析和处理。</w:t>
            </w:r>
          </w:p>
          <w:p w14:paraId="4B0F3527">
            <w:pPr>
              <w:numPr>
                <w:ilvl w:val="0"/>
                <w:numId w:val="5"/>
              </w:numPr>
              <w:spacing w:before="101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定期组织召开质量分析会。</w:t>
            </w:r>
          </w:p>
          <w:p w14:paraId="46D76F8E">
            <w:pPr>
              <w:numPr>
                <w:ilvl w:val="0"/>
                <w:numId w:val="5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跟踪客户投诉的处理过程。</w:t>
            </w:r>
          </w:p>
          <w:p w14:paraId="2F86E49D">
            <w:pPr>
              <w:numPr>
                <w:ilvl w:val="0"/>
                <w:numId w:val="5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定期编写总结报告，持续改进完善维护服务能力和质量。</w:t>
            </w:r>
          </w:p>
          <w:p w14:paraId="59131FC2">
            <w:pPr>
              <w:numPr>
                <w:ilvl w:val="0"/>
                <w:numId w:val="5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负责监控服务的处理过程。</w:t>
            </w:r>
          </w:p>
          <w:p w14:paraId="2A5DB1F8">
            <w:pPr>
              <w:numPr>
                <w:ilvl w:val="0"/>
                <w:numId w:val="5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对每个处理事件进行客户回访。</w:t>
            </w:r>
          </w:p>
          <w:p w14:paraId="51CC9E2C">
            <w:pPr>
              <w:numPr>
                <w:ilvl w:val="0"/>
                <w:numId w:val="5"/>
              </w:numPr>
              <w:spacing w:before="105" w:line="271" w:lineRule="auto"/>
              <w:ind w:left="425" w:leftChars="0" w:right="27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接收和处理客户投诉，重要的客户投诉信息及时反馈给相关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部门处理。</w:t>
            </w:r>
          </w:p>
          <w:p w14:paraId="2D72221C">
            <w:pPr>
              <w:numPr>
                <w:ilvl w:val="0"/>
                <w:numId w:val="5"/>
              </w:numPr>
              <w:spacing w:before="100" w:line="286" w:lineRule="auto"/>
              <w:ind w:left="425" w:leftChars="0" w:right="270" w:righ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1"/>
                <w:sz w:val="21"/>
                <w:szCs w:val="21"/>
              </w:rPr>
              <w:t>包括运维项目经理、技术支持工程师、网络工程师等相关人员，按照运维岗位职责的要求、工作流程及质量要求，实施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具体运维服务任务，并将过程形成记录。</w:t>
            </w:r>
          </w:p>
        </w:tc>
      </w:tr>
      <w:tr w14:paraId="4BF4E8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2" w:hRule="atLeast"/>
        </w:trPr>
        <w:tc>
          <w:tcPr>
            <w:tcW w:w="0" w:type="auto"/>
            <w:shd w:val="clear" w:color="auto" w:fill="auto"/>
          </w:tcPr>
          <w:p w14:paraId="75BF8963">
            <w:pPr>
              <w:pStyle w:val="25"/>
              <w:spacing w:line="260" w:lineRule="auto"/>
            </w:pPr>
          </w:p>
          <w:p w14:paraId="1422B580">
            <w:pPr>
              <w:pStyle w:val="25"/>
              <w:spacing w:line="260" w:lineRule="auto"/>
            </w:pPr>
          </w:p>
          <w:p w14:paraId="0838FA6F">
            <w:pPr>
              <w:spacing w:before="78" w:line="220" w:lineRule="auto"/>
              <w:ind w:left="11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其他部门</w:t>
            </w:r>
          </w:p>
        </w:tc>
        <w:tc>
          <w:tcPr>
            <w:tcW w:w="0" w:type="auto"/>
            <w:shd w:val="clear" w:color="auto" w:fill="auto"/>
          </w:tcPr>
          <w:p w14:paraId="2F01BC1A">
            <w:pPr>
              <w:numPr>
                <w:ilvl w:val="0"/>
                <w:numId w:val="6"/>
              </w:numPr>
              <w:spacing w:before="71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参与能力管理计划的制定；</w:t>
            </w:r>
          </w:p>
          <w:p w14:paraId="0245C306">
            <w:pPr>
              <w:numPr>
                <w:ilvl w:val="0"/>
                <w:numId w:val="6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5"/>
                <w:sz w:val="21"/>
                <w:szCs w:val="21"/>
              </w:rPr>
              <w:t>按照能力管理计划实施；</w:t>
            </w:r>
          </w:p>
          <w:p w14:paraId="3D8BD483">
            <w:pPr>
              <w:numPr>
                <w:ilvl w:val="0"/>
                <w:numId w:val="6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接受质量部的监督和检查，并定期汇报计划的实</w:t>
            </w:r>
            <w:r>
              <w:rPr>
                <w:rFonts w:ascii="宋体" w:hAnsi="宋体" w:eastAsia="宋体" w:cs="宋体"/>
                <w:spacing w:val="-3"/>
                <w:sz w:val="21"/>
                <w:szCs w:val="21"/>
              </w:rPr>
              <w:t>施情况；</w:t>
            </w:r>
          </w:p>
          <w:p w14:paraId="705DF074">
            <w:pPr>
              <w:numPr>
                <w:ilvl w:val="0"/>
                <w:numId w:val="6"/>
              </w:numPr>
              <w:spacing w:before="105" w:line="223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针对实施过程中发现的问题采取有效的改进措施。</w:t>
            </w:r>
          </w:p>
        </w:tc>
      </w:tr>
    </w:tbl>
    <w:p w14:paraId="46446FBD">
      <w:pPr>
        <w:spacing w:line="91" w:lineRule="auto"/>
        <w:rPr>
          <w:rFonts w:ascii="Arial"/>
          <w:sz w:val="2"/>
        </w:rPr>
      </w:pPr>
    </w:p>
    <w:p w14:paraId="7DF3FD4F">
      <w:pPr>
        <w:pStyle w:val="26"/>
        <w:bidi w:val="0"/>
      </w:pPr>
      <w:bookmarkStart w:id="9" w:name="_Toc10928"/>
      <w:r>
        <w:t>部门岗位</w:t>
      </w:r>
      <w:bookmarkEnd w:id="9"/>
    </w:p>
    <w:p w14:paraId="526298C8">
      <w:pPr>
        <w:pStyle w:val="28"/>
        <w:bidi w:val="0"/>
      </w:pPr>
      <w:bookmarkStart w:id="10" w:name="bookmark23"/>
      <w:bookmarkEnd w:id="10"/>
      <w:bookmarkStart w:id="11" w:name="_Toc28876"/>
      <w:r>
        <w:t>公司高层</w:t>
      </w:r>
      <w:bookmarkEnd w:id="11"/>
    </w:p>
    <w:p w14:paraId="3A150509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负责审批年度服务管理计划。</w:t>
      </w:r>
    </w:p>
    <w:p w14:paraId="000A1C17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定期对服务实施过程进行监控和管理，对服务实施过程的改进进行审批。</w:t>
      </w:r>
    </w:p>
    <w:p w14:paraId="590BD927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负责公司运维服务体系的管理评审，以确保运维服务能力的适应性和有效性</w:t>
      </w:r>
    </w:p>
    <w:p w14:paraId="299E9946">
      <w:pPr>
        <w:pStyle w:val="28"/>
        <w:bidi w:val="0"/>
      </w:pPr>
      <w:bookmarkStart w:id="12" w:name="_Toc15694"/>
      <w:r>
        <w:t>质量部</w:t>
      </w:r>
      <w:bookmarkEnd w:id="12"/>
    </w:p>
    <w:p w14:paraId="38B148E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负责公司运维服务体系的定期内部评审，对内审中不达标项的处理进行跟踪记录。</w:t>
      </w:r>
    </w:p>
    <w:p w14:paraId="5712123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负责运维服务的组织级质量保证。</w:t>
      </w:r>
    </w:p>
    <w:p w14:paraId="3E973DAC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对公司运维服务业务的质量进行监控。</w:t>
      </w:r>
    </w:p>
    <w:p w14:paraId="2BD2E07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负责组织级客户满意度的调查。</w:t>
      </w:r>
    </w:p>
    <w:p w14:paraId="14FEE18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负责改进措施的监督及检查。</w:t>
      </w:r>
    </w:p>
    <w:p w14:paraId="11DFA4E8">
      <w:pPr>
        <w:pStyle w:val="28"/>
        <w:bidi w:val="0"/>
      </w:pPr>
      <w:bookmarkStart w:id="13" w:name="_Toc22647"/>
      <w:r>
        <w:t>运维部</w:t>
      </w:r>
      <w:bookmarkEnd w:id="13"/>
    </w:p>
    <w:p w14:paraId="10ED5BB2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负责对所管辖的业务质量计划的制定。</w:t>
      </w:r>
    </w:p>
    <w:p w14:paraId="2F34192F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负责对所管辖的业务进行质量控制,对质量部和服务台提供的客户服务质量调查结果进行分析和处理。</w:t>
      </w:r>
    </w:p>
    <w:p w14:paraId="5422684B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定期组织召开质量分析会。</w:t>
      </w:r>
    </w:p>
    <w:p w14:paraId="69F38A46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跟踪客户投诉的处理过程。</w:t>
      </w:r>
    </w:p>
    <w:p w14:paraId="00412ADE">
      <w:pPr>
        <w:pStyle w:val="12"/>
        <w:keepNext w:val="0"/>
        <w:keepLines w:val="0"/>
        <w:pageBreakBefore w:val="0"/>
        <w:widowControl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定期编写总结报告，持续改进完善维护服务能力和质量。</w:t>
      </w:r>
    </w:p>
    <w:p w14:paraId="48DB105F">
      <w:pPr>
        <w:pStyle w:val="28"/>
        <w:bidi w:val="0"/>
      </w:pPr>
      <w:bookmarkStart w:id="14" w:name="_Toc11615"/>
      <w:r>
        <w:t>服务台</w:t>
      </w:r>
      <w:bookmarkEnd w:id="14"/>
    </w:p>
    <w:p w14:paraId="42FAAE07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负责监控服务的处理过程。</w:t>
      </w:r>
    </w:p>
    <w:p w14:paraId="76D3E127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接收和处理客户投诉，重要的客户投诉信息及时反馈给相关部门处理。</w:t>
      </w:r>
    </w:p>
    <w:p w14:paraId="515481F5">
      <w:pPr>
        <w:pStyle w:val="12"/>
        <w:keepNext w:val="0"/>
        <w:keepLines w:val="0"/>
        <w:pageBreakBefore w:val="0"/>
        <w:widowControl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负责服务数据的统计，并报送给相关部门。</w:t>
      </w:r>
    </w:p>
    <w:p w14:paraId="027C47C0">
      <w:pPr>
        <w:pStyle w:val="28"/>
        <w:bidi w:val="0"/>
      </w:pPr>
      <w:bookmarkStart w:id="15" w:name="_Toc560"/>
      <w:r>
        <w:t>运维服务人员</w:t>
      </w:r>
      <w:bookmarkEnd w:id="15"/>
    </w:p>
    <w:p w14:paraId="6DA96FE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0" w:right="0" w:firstLine="476" w:firstLineChars="200"/>
        <w:jc w:val="both"/>
        <w:textAlignment w:val="baseline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包括技术支持工程师、网络工程师等人员，按照运维岗位职责的要求、工作流程及质量要求，实施具体运维服务任务，并将过程形成记录。</w:t>
      </w:r>
    </w:p>
    <w:p w14:paraId="34824D66">
      <w:pPr>
        <w:pStyle w:val="26"/>
        <w:bidi w:val="0"/>
      </w:pPr>
      <w:bookmarkStart w:id="16" w:name="_Toc29967"/>
      <w:r>
        <w:t>质量管理内容</w:t>
      </w:r>
      <w:bookmarkEnd w:id="16"/>
    </w:p>
    <w:p w14:paraId="49BD0F39">
      <w:pPr>
        <w:pStyle w:val="28"/>
        <w:bidi w:val="0"/>
      </w:pPr>
      <w:bookmarkStart w:id="17" w:name="bookmark24"/>
      <w:bookmarkEnd w:id="17"/>
      <w:bookmarkStart w:id="18" w:name="_Toc17581"/>
      <w:r>
        <w:t>高层的质量管理活动</w:t>
      </w:r>
      <w:bookmarkEnd w:id="18"/>
    </w:p>
    <w:p w14:paraId="11239726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制定管控指标:根据市场情况、技术发展和公司自身变化，制定并周期性的评审公司运维业务的方针策略和目标，评审服务目录、管控目标，评审组织结构和管理制度</w:t>
      </w:r>
    </w:p>
    <w:p w14:paraId="4F1B887E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管理评审:管理评审的目的是通过对公司服务体系运行的适宜性、充分性和有效性进行评价，确定公司服务体系的改进方向。</w:t>
      </w:r>
    </w:p>
    <w:p w14:paraId="17B10B95">
      <w:pPr>
        <w:pStyle w:val="12"/>
        <w:keepNext w:val="0"/>
        <w:keepLines w:val="0"/>
        <w:pageBreakBefore w:val="0"/>
        <w:widowControl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服务改进规划：根据市场情况、技术发展和公司自身变化，周期性的评审服务工作中存在的问题，并评估批准整改措施；评审现有流程执行的差距和改进措施，更好地适应服务需求；通过服务改进管理，提高运维服务工作的适应性和管理水平。</w:t>
      </w:r>
    </w:p>
    <w:p w14:paraId="3D7D82DC">
      <w:pPr>
        <w:pStyle w:val="28"/>
        <w:bidi w:val="0"/>
      </w:pPr>
      <w:bookmarkStart w:id="19" w:name="_Toc10382"/>
      <w:r>
        <w:t>质量部的质量管理活动</w:t>
      </w:r>
      <w:bookmarkEnd w:id="19"/>
    </w:p>
    <w:p w14:paraId="3A5DAF25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内审和管理评审：公司质量部负责组织每年一次的内审和每年一次的管理评审，来评价公司的运维服务能力的适应性和有效性。</w:t>
      </w:r>
    </w:p>
    <w:p w14:paraId="31701EE1">
      <w:pPr>
        <w:pStyle w:val="12"/>
        <w:keepNext w:val="0"/>
        <w:keepLines w:val="0"/>
        <w:pageBreakBefore w:val="0"/>
        <w:widowControl/>
        <w:numPr>
          <w:ilvl w:val="0"/>
          <w:numId w:val="1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客户满意度调查：公司质量部负责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每年至少进行一次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，并对调查结果进行分析和总结，对相关的调查结果进行分析，及时反馈给相关部门和责任人，对重大质量问题进行跟踪和督促。</w:t>
      </w:r>
    </w:p>
    <w:p w14:paraId="4B6B1EEC">
      <w:pPr>
        <w:pStyle w:val="28"/>
        <w:bidi w:val="0"/>
      </w:pPr>
      <w:bookmarkStart w:id="20" w:name="_Toc25193"/>
      <w:r>
        <w:t>运维部的质量管理活动</w:t>
      </w:r>
      <w:bookmarkEnd w:id="20"/>
    </w:p>
    <w:p w14:paraId="0793A2B6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签订服务协议：运维部门经理协助销售部门与客户签订服务级别协议SLA（SLA服务合同）。</w:t>
      </w:r>
    </w:p>
    <w:p w14:paraId="48C462B7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质量计划：运维部经理或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项目经理制定服务项目的质量保证计划，以确保服务目标的实现，服务风险的降低。</w:t>
      </w:r>
    </w:p>
    <w:p w14:paraId="2E8E7952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服务执行：从项目开始实施至结束，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项目经理监督、控制服务过程中的每一个环节，包括事件、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问题、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配置、变更、发布、信息安全、容量、过程框架、可用性、业务连续性，按合同要求形成服务报告，在报告中详细列明 SLA 达成情况。服务台管理员及时回访客户，调查服务满意度。</w:t>
      </w:r>
    </w:p>
    <w:p w14:paraId="0D3C771A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质量分析：运维部门经理对本部门的各项目质量进行管理，包括数据统计、分析、预警、跟踪。检查各项运维服务指标达成情况，并与 SLA 的要求进行对比，对未达标项提出改进措施，形成项目质量分析报告。</w:t>
      </w:r>
    </w:p>
    <w:p w14:paraId="6BBAEB28">
      <w:pPr>
        <w:pStyle w:val="12"/>
        <w:keepNext w:val="0"/>
        <w:keepLines w:val="0"/>
        <w:pageBreakBefore w:val="0"/>
        <w:widowControl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质量改进：由质量部经理组织相关人员，通过阶段性（季度）</w:t>
      </w:r>
      <w:r>
        <w:rPr>
          <w:rFonts w:ascii="宋体" w:hAnsi="宋体" w:eastAsia="宋体" w:cs="宋体"/>
          <w:spacing w:val="-2"/>
          <w:sz w:val="24"/>
          <w:szCs w:val="24"/>
        </w:rPr>
        <w:t>的运维服务工作总结，对公司服务业务发展过</w:t>
      </w:r>
      <w:r>
        <w:rPr>
          <w:rFonts w:ascii="宋体" w:hAnsi="宋体" w:eastAsia="宋体" w:cs="宋体"/>
          <w:spacing w:val="-3"/>
          <w:sz w:val="24"/>
          <w:szCs w:val="24"/>
        </w:rPr>
        <w:t>程的问题和偏差做出有效评估，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并进行调整和优化，及时了解客户的需求，并根据客户的意见或建议进行改进，保证年度运维服务目标的实现。</w:t>
      </w:r>
    </w:p>
    <w:p w14:paraId="3925EB6B">
      <w:pPr>
        <w:pStyle w:val="26"/>
        <w:bidi w:val="0"/>
      </w:pPr>
      <w:bookmarkStart w:id="21" w:name="_Toc11091"/>
      <w:r>
        <w:t>运维服务质量管理要求</w:t>
      </w:r>
      <w:bookmarkEnd w:id="21"/>
    </w:p>
    <w:p w14:paraId="5A4748EA">
      <w:pPr>
        <w:pStyle w:val="28"/>
        <w:bidi w:val="0"/>
      </w:pPr>
      <w:bookmarkStart w:id="22" w:name="bookmark25"/>
      <w:bookmarkEnd w:id="22"/>
      <w:bookmarkStart w:id="23" w:name="_Toc14425"/>
      <w:r>
        <w:t>客户满意度调查要求</w:t>
      </w:r>
      <w:bookmarkEnd w:id="23"/>
    </w:p>
    <w:p w14:paraId="296D76AD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客户满意度调查工作由公司质量部负责，服务台配合完成，分为事件回访和公司级客户满意度调查。</w:t>
      </w:r>
    </w:p>
    <w:p w14:paraId="1F2ACA7E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事件回访是对已解决的事件在解决后的 24 小时内进行一次电话回访，了解客户对处理结果的满意度。</w:t>
      </w:r>
    </w:p>
    <w:p w14:paraId="2B3D8A9A">
      <w:pPr>
        <w:pStyle w:val="12"/>
        <w:keepNext w:val="0"/>
        <w:keepLines w:val="0"/>
        <w:pageBreakBefore w:val="0"/>
        <w:widowControl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公司级客户满意度调查应每年最少进行一次，采用问卷填写，客户满意度调查内容应注意调查样本的比例及覆盖范围，以降低抽样的风险。</w:t>
      </w:r>
    </w:p>
    <w:p w14:paraId="7C66DAB9">
      <w:pPr>
        <w:pStyle w:val="28"/>
        <w:bidi w:val="0"/>
      </w:pPr>
      <w:bookmarkStart w:id="24" w:name="_Toc14439"/>
      <w:r>
        <w:t>项目的质量管理要求</w:t>
      </w:r>
      <w:bookmarkEnd w:id="24"/>
    </w:p>
    <w:p w14:paraId="08F8538D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项目经理必须严格按照 SLA（或服务合同）的要求，为客户提供运维服务。同时及时监控服务过程，以确保达到 SLA 的要求。并定期向客户和部门经理提交服务报告。</w:t>
      </w:r>
    </w:p>
    <w:p w14:paraId="31DCB4C0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服务台管理人员及时对已完成的项目进行客户回访，以获取客户的满意度评价。</w:t>
      </w:r>
    </w:p>
    <w:p w14:paraId="5CC3D5B5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服务台管理人员根据SLA（或服务合同）制定指标体系，按月进行指标统计，形成质量报告，报送给相关部门及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运维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项目经理。</w:t>
      </w:r>
    </w:p>
    <w:p w14:paraId="311EE77C">
      <w:pPr>
        <w:pStyle w:val="12"/>
        <w:keepNext w:val="0"/>
        <w:keepLines w:val="0"/>
        <w:pageBreakBefore w:val="0"/>
        <w:widowControl/>
        <w:numPr>
          <w:ilvl w:val="0"/>
          <w:numId w:val="1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运维部门经理每季度须召开一次质量分析会，回顾和总结月度质量计划完成情况，提出下阶段的改进措施，并对相关人员进行指标考</w:t>
      </w:r>
      <w:r>
        <w:rPr>
          <w:rFonts w:ascii="宋体" w:hAnsi="宋体" w:eastAsia="宋体" w:cs="宋体"/>
          <w:spacing w:val="-2"/>
          <w:sz w:val="24"/>
          <w:szCs w:val="24"/>
        </w:rPr>
        <w:t>核。</w:t>
      </w:r>
    </w:p>
    <w:p w14:paraId="43CFFF00">
      <w:pPr>
        <w:pStyle w:val="28"/>
        <w:bidi w:val="0"/>
      </w:pPr>
      <w:bookmarkStart w:id="25" w:name="_Toc26506"/>
      <w:r>
        <w:t>体系的质量管理要求</w:t>
      </w:r>
      <w:bookmarkEnd w:id="25"/>
    </w:p>
    <w:p w14:paraId="4E67FFF0">
      <w:pPr>
        <w:pStyle w:val="29"/>
        <w:bidi w:val="0"/>
      </w:pPr>
      <w:bookmarkStart w:id="26" w:name="bookmark26"/>
      <w:bookmarkEnd w:id="26"/>
      <w:bookmarkStart w:id="27" w:name="_Toc7725"/>
      <w:r>
        <w:t>内审要求</w:t>
      </w:r>
      <w:bookmarkEnd w:id="27"/>
    </w:p>
    <w:p w14:paraId="4A1D6E5D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内审要求每年度执行一次，可根据公司实际情况策划审核频次。由质量部来负责组织内审计划、实施和报告，但必须得到质量部经理的批准。</w:t>
      </w:r>
    </w:p>
    <w:p w14:paraId="106980A6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内审的范围是运维服务涉及的所有部门，包括运维服务的主要实施部门和支持部门。内审要对 GB/T 28827.1-2022 《信息技术服务 运行维护 第 1 部分：通用要求》、GB/T 28827.2-2012 《信息技术服务 运行维护 第 2 部分:交付规范》、GB/T 28827.3-2012 《信息技术服务 运行维护 第 3 部分:应急响应规范》中人员、资源、技术、过程、交付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和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应急响应都进行审核。</w:t>
      </w:r>
    </w:p>
    <w:p w14:paraId="0990B81A">
      <w:pPr>
        <w:pStyle w:val="12"/>
        <w:keepNext w:val="0"/>
        <w:keepLines w:val="0"/>
        <w:pageBreakBefore w:val="0"/>
        <w:widowControl/>
        <w:numPr>
          <w:ilvl w:val="0"/>
          <w:numId w:val="1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内审需要制订内审计划、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  <w:t>内审</w:t>
      </w: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检查表，内审员在审核过程中要详细记录审核内容；审核完成后需要对不合格项进行整改；编写内审报告。</w:t>
      </w:r>
    </w:p>
    <w:p w14:paraId="533E2C34">
      <w:pPr>
        <w:pStyle w:val="29"/>
        <w:bidi w:val="0"/>
      </w:pPr>
      <w:bookmarkStart w:id="28" w:name="_Toc30797"/>
      <w:r>
        <w:t>管理评审要求</w:t>
      </w:r>
      <w:bookmarkEnd w:id="28"/>
    </w:p>
    <w:p w14:paraId="5C563A67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管理评审要求每年必须执行一次，由管理者代表组织实施。</w:t>
      </w:r>
    </w:p>
    <w:p w14:paraId="22072BD6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管理评审的参加人员要包括：公司领导、管理者代表、运维部负责人、质量部负责人、综合管理部负责人、研发部负责人等。</w:t>
      </w:r>
    </w:p>
    <w:p w14:paraId="758DFEA9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ascii="宋体" w:hAnsi="宋体" w:eastAsia="宋体" w:cs="宋体"/>
          <w:spacing w:val="-5"/>
          <w:position w:val="1"/>
          <w:sz w:val="24"/>
          <w:szCs w:val="24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管理评审的主要内容为：年度能力管理计划的实施情况汇报、各项KPI的完成情况、客户满意度调查汇报、各运维部门的工作汇报、运维服务管理体系内审报告、客户投诉报告、持续改进情况等。</w:t>
      </w:r>
    </w:p>
    <w:p w14:paraId="4217DD1C">
      <w:pPr>
        <w:pStyle w:val="12"/>
        <w:keepNext w:val="0"/>
        <w:keepLines w:val="0"/>
        <w:pageBreakBefore w:val="0"/>
        <w:widowControl/>
        <w:numPr>
          <w:ilvl w:val="0"/>
          <w:numId w:val="1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rightChars="0" w:hanging="425" w:firstLineChars="0"/>
        <w:textAlignment w:val="baseline"/>
        <w:rPr>
          <w:rFonts w:hint="eastAsia" w:ascii="宋体" w:hAnsi="宋体" w:eastAsia="宋体" w:cs="宋体"/>
          <w:spacing w:val="-5"/>
          <w:position w:val="1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pacing w:val="-5"/>
          <w:position w:val="1"/>
          <w:sz w:val="24"/>
          <w:szCs w:val="24"/>
        </w:rPr>
        <w:t>注：管理评审需要先制定管理评审计划，收集相关材料，根据管理评审结果制定管理评审报告，如果在管理评审上发现问题，需要对问题进行跟踪</w:t>
      </w:r>
      <w:r>
        <w:rPr>
          <w:rFonts w:hint="eastAsia" w:ascii="宋体" w:hAnsi="宋体" w:eastAsia="宋体" w:cs="宋体"/>
          <w:spacing w:val="-5"/>
          <w:position w:val="1"/>
          <w:sz w:val="24"/>
          <w:szCs w:val="24"/>
          <w:lang w:eastAsia="zh-CN"/>
        </w:rPr>
        <w:t>。</w:t>
      </w:r>
    </w:p>
    <w:sectPr>
      <w:footerReference r:id="rId5" w:type="default"/>
      <w:pgSz w:w="11906" w:h="16839"/>
      <w:pgMar w:top="1431" w:right="1785" w:bottom="1375" w:left="1785" w:header="0" w:footer="121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A4967">
    <w:pPr>
      <w:spacing w:line="167" w:lineRule="auto"/>
      <w:ind w:left="4130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BE2A9CB"/>
    <w:multiLevelType w:val="singleLevel"/>
    <w:tmpl w:val="ABE2A9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6459E0A"/>
    <w:multiLevelType w:val="singleLevel"/>
    <w:tmpl w:val="C6459E0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84E233"/>
    <w:multiLevelType w:val="singleLevel"/>
    <w:tmpl w:val="F984E2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D9B728E"/>
    <w:multiLevelType w:val="singleLevel"/>
    <w:tmpl w:val="FD9B728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67EECCE"/>
    <w:multiLevelType w:val="singleLevel"/>
    <w:tmpl w:val="167EEC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1D6513C7"/>
    <w:multiLevelType w:val="singleLevel"/>
    <w:tmpl w:val="1D6513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2DB92F7"/>
    <w:multiLevelType w:val="singleLevel"/>
    <w:tmpl w:val="32DB92F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BCA015B"/>
    <w:multiLevelType w:val="singleLevel"/>
    <w:tmpl w:val="3BCA01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3F74CF77"/>
    <w:multiLevelType w:val="singleLevel"/>
    <w:tmpl w:val="3F74CF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4CCCFC88"/>
    <w:multiLevelType w:val="singleLevel"/>
    <w:tmpl w:val="4CCCFC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F80E728"/>
    <w:multiLevelType w:val="singleLevel"/>
    <w:tmpl w:val="4F80E7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152A91F"/>
    <w:multiLevelType w:val="singleLevel"/>
    <w:tmpl w:val="6152A91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5D3A512"/>
    <w:multiLevelType w:val="singleLevel"/>
    <w:tmpl w:val="65D3A5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29F4859"/>
    <w:multiLevelType w:val="singleLevel"/>
    <w:tmpl w:val="729F48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74103E91"/>
    <w:multiLevelType w:val="singleLevel"/>
    <w:tmpl w:val="74103E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7787E936"/>
    <w:multiLevelType w:val="singleLevel"/>
    <w:tmpl w:val="7787E9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8"/>
  </w:num>
  <w:num w:numId="5">
    <w:abstractNumId w:val="1"/>
  </w:num>
  <w:num w:numId="6">
    <w:abstractNumId w:val="9"/>
  </w:num>
  <w:num w:numId="7">
    <w:abstractNumId w:val="4"/>
  </w:num>
  <w:num w:numId="8">
    <w:abstractNumId w:val="13"/>
  </w:num>
  <w:num w:numId="9">
    <w:abstractNumId w:val="6"/>
  </w:num>
  <w:num w:numId="10">
    <w:abstractNumId w:val="7"/>
  </w:num>
  <w:num w:numId="11">
    <w:abstractNumId w:val="10"/>
  </w:num>
  <w:num w:numId="12">
    <w:abstractNumId w:val="14"/>
  </w:num>
  <w:num w:numId="13">
    <w:abstractNumId w:val="2"/>
  </w:num>
  <w:num w:numId="14">
    <w:abstractNumId w:val="15"/>
  </w:num>
  <w:num w:numId="15">
    <w:abstractNumId w:val="11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5601F1"/>
    <w:rsid w:val="1FB00267"/>
    <w:rsid w:val="229009C2"/>
    <w:rsid w:val="249F78AE"/>
    <w:rsid w:val="2E8B665B"/>
    <w:rsid w:val="3F204B9E"/>
    <w:rsid w:val="41FD2F74"/>
    <w:rsid w:val="51FC37D6"/>
    <w:rsid w:val="528D20F2"/>
    <w:rsid w:val="5FB35537"/>
    <w:rsid w:val="63807109"/>
    <w:rsid w:val="6CDC66C2"/>
    <w:rsid w:val="6FAA6D28"/>
    <w:rsid w:val="7CE85F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link w:val="31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character" w:customStyle="1" w:styleId="31">
    <w:name w:val="柴_标题2 Char"/>
    <w:link w:val="28"/>
    <w:qFormat/>
    <w:uiPriority w:val="0"/>
    <w:rPr>
      <w:rFonts w:ascii="Arial" w:hAnsi="Arial" w:eastAsia="宋体"/>
      <w:sz w:val="28"/>
    </w:rPr>
  </w:style>
  <w:style w:type="paragraph" w:customStyle="1" w:styleId="32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3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6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3284</Words>
  <Characters>3489</Characters>
  <Lines>0</Lines>
  <Paragraphs>0</Paragraphs>
  <TotalTime>7</TotalTime>
  <ScaleCrop>false</ScaleCrop>
  <LinksUpToDate>false</LinksUpToDate>
  <CharactersWithSpaces>3635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2025-08-18T17:56:00Z</dcterms:created>
  <dc:creator>谢永刚</dc:creator>
  <cp:lastModifiedBy>郝宇</cp:lastModifiedBy>
  <dcterms:modified xsi:type="dcterms:W3CDTF">2026-02-09T17:16:22Z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2025-08-20T23:54:01Z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F06448E82D154202B687D38C6E206337_12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