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589C4">
      <w:pPr>
        <w:pStyle w:val="5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6E835434">
      <w:pPr>
        <w:pStyle w:val="5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1114"/>
      <w:bookmarkStart w:id="1" w:name="_Toc8267"/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人员管理总结报告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截止2025年12月</w:t>
      </w:r>
      <w:bookmarkEnd w:id="0"/>
      <w:bookmarkEnd w:id="1"/>
    </w:p>
    <w:p w14:paraId="0966A8CB">
      <w:pPr>
        <w:pStyle w:val="5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28898"/>
      <w:bookmarkStart w:id="3" w:name="_Toc156"/>
      <w:r>
        <w:t>中达丰集团有限公司</w:t>
      </w:r>
      <w:bookmarkEnd w:id="2"/>
      <w:bookmarkEnd w:id="3"/>
    </w:p>
    <w:p w14:paraId="682A229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20" w:after="120" w:line="240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5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年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月30日</w:t>
      </w:r>
    </w:p>
    <w:p w14:paraId="25C1586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p w14:paraId="407F97CF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27875"/>
      <w:bookmarkStart w:id="5" w:name="_Toc2160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p w14:paraId="221FC63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17" w:lineRule="exact"/>
      </w:pPr>
    </w:p>
    <w:tbl>
      <w:tblPr>
        <w:tblStyle w:val="48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2E1A6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678F0FAF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69D61CE0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人员管理总结报告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RYGLZJ</w:t>
            </w:r>
            <w:r>
              <w:rPr>
                <w:spacing w:val="-1"/>
              </w:rPr>
              <w:t>）</w:t>
            </w:r>
          </w:p>
        </w:tc>
      </w:tr>
      <w:tr w14:paraId="0DFF1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1F463B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46F37D68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25CC7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BD4D6DD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3F331744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A0F0538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1B6B50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D3BACD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04080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1E7CA673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40F60E7A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30</w:t>
            </w:r>
          </w:p>
        </w:tc>
        <w:tc>
          <w:tcPr>
            <w:tcW w:w="2302" w:type="dxa"/>
          </w:tcPr>
          <w:p w14:paraId="5144A4BB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A4C3FCA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 w14:paraId="7B5789F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64B1E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BCA63E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4ABA693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/>
              <w:ind w:left="290"/>
            </w:pPr>
          </w:p>
        </w:tc>
        <w:tc>
          <w:tcPr>
            <w:tcW w:w="2302" w:type="dxa"/>
          </w:tcPr>
          <w:p w14:paraId="13A251D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26278E79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4928B05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20" w:lineRule="auto"/>
              <w:ind w:left="672"/>
            </w:pPr>
          </w:p>
        </w:tc>
      </w:tr>
      <w:tr w14:paraId="058AA1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F34939D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4B53AC3F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/>
              <w:ind w:left="290"/>
            </w:pPr>
          </w:p>
        </w:tc>
        <w:tc>
          <w:tcPr>
            <w:tcW w:w="2302" w:type="dxa"/>
          </w:tcPr>
          <w:p w14:paraId="38A3544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7CAA1020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0C82B389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0" w:lineRule="auto"/>
              <w:ind w:left="672"/>
            </w:pPr>
          </w:p>
        </w:tc>
      </w:tr>
      <w:tr w14:paraId="715C1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27AB20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FA67D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AAF78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83A2AF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97F00F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  <w:tr w14:paraId="192F3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7336551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57B5968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9A677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0EBFE7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E8A7B0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3C097EAC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after="0" w:line="240" w:lineRule="auto"/>
        <w:rPr>
          <w:rFonts w:ascii="Calibri" w:hAnsi="Calibri" w:eastAsia="宋体" w:cs="Times New Roman"/>
          <w:szCs w:val="22"/>
        </w:rPr>
      </w:pPr>
    </w:p>
    <w:p w14:paraId="529BABF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sz w:val="32"/>
          <w:szCs w:val="32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9426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C551A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6" w:name="_Toc462056941"/>
          <w:r>
            <w:rPr>
              <w:rFonts w:ascii="宋体" w:hAnsi="宋体" w:eastAsia="宋体"/>
              <w:sz w:val="21"/>
            </w:rPr>
            <w:t>目录</w:t>
          </w:r>
        </w:p>
        <w:p w14:paraId="6641FC89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_Toc8267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 人员管理总结报告 截止2025年12月</w:t>
          </w:r>
          <w:r>
            <w:tab/>
          </w:r>
          <w:r>
            <w:fldChar w:fldCharType="begin"/>
          </w:r>
          <w:r>
            <w:instrText xml:space="preserve"> PAGEREF _Toc8267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4F26202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_Toc28898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_Toc28898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03D5F6D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_Toc21605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_Toc21605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C647F5E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_Toc24308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</w:rPr>
            <w:t>公司人事管理管理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_Toc24308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4F4A0B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_Toc16690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人员招聘总结</w:t>
          </w:r>
          <w:r>
            <w:tab/>
          </w:r>
          <w:r>
            <w:fldChar w:fldCharType="begin"/>
          </w:r>
          <w:r>
            <w:instrText xml:space="preserve"> PAGEREF _Toc16690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6F6F827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_Toc28963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关键岗位储备总结</w:t>
          </w:r>
          <w:r>
            <w:tab/>
          </w:r>
          <w:r>
            <w:fldChar w:fldCharType="begin"/>
          </w:r>
          <w:r>
            <w:instrText xml:space="preserve"> PAGEREF _Toc28963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F52E90C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运维相关人员业务培训</w:t>
          </w:r>
          <w:r>
            <w:tab/>
          </w:r>
          <w:r>
            <w:fldChar w:fldCharType="begin"/>
          </w:r>
          <w:r>
            <w:instrText xml:space="preserve"> PAGEREF _Toc2047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D42B25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_Toc3917 </w:instrText>
          </w:r>
          <w: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  <w:lang w:val="en-US" w:eastAsia="zh-CN"/>
            </w:rPr>
            <w:t>运维人员备份总结</w:t>
          </w:r>
          <w:r>
            <w:tab/>
          </w:r>
          <w:r>
            <w:fldChar w:fldCharType="begin"/>
          </w:r>
          <w:r>
            <w:instrText xml:space="preserve"> PAGEREF _Toc3917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0BD541E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_Toc5613 </w:instrText>
          </w:r>
          <w:r>
            <w:fldChar w:fldCharType="separate"/>
          </w:r>
          <w:r>
            <w:rPr>
              <w:rFonts w:hint="default"/>
            </w:rPr>
            <w:t xml:space="preserve">1.5. </w:t>
          </w:r>
          <w:r>
            <w:rPr>
              <w:rFonts w:hint="eastAsia"/>
            </w:rPr>
            <w:t>运维人员绩效考核</w:t>
          </w:r>
          <w:r>
            <w:tab/>
          </w:r>
          <w:r>
            <w:fldChar w:fldCharType="begin"/>
          </w:r>
          <w:r>
            <w:instrText xml:space="preserve"> PAGEREF _Toc5613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85A0887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技能评价</w:t>
          </w:r>
          <w:r>
            <w:tab/>
          </w:r>
          <w:r>
            <w:fldChar w:fldCharType="begin"/>
          </w:r>
          <w:r>
            <w:instrText xml:space="preserve"> PAGEREF _Toc27620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744F65">
          <w:r>
            <w:fldChar w:fldCharType="end"/>
          </w:r>
        </w:p>
      </w:sdtContent>
    </w:sdt>
    <w:p w14:paraId="6EA81EBC"/>
    <w:p w14:paraId="59C43E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rPr>
          <w:rFonts w:hint="eastAsia" w:ascii="宋体" w:hAnsi="宋体" w:eastAsia="宋体" w:cs="宋体"/>
          <w:bCs/>
          <w:caps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caps/>
          <w:kern w:val="0"/>
          <w:sz w:val="24"/>
          <w:szCs w:val="24"/>
        </w:rPr>
        <w:br w:type="page"/>
      </w:r>
    </w:p>
    <w:p w14:paraId="157A2C2B">
      <w:pPr>
        <w:pStyle w:val="50"/>
        <w:bidi w:val="0"/>
        <w:rPr>
          <w:rFonts w:hint="eastAsia"/>
          <w:lang w:eastAsia="zh-CN"/>
        </w:rPr>
      </w:pPr>
      <w:bookmarkStart w:id="7" w:name="_Toc24308"/>
      <w:bookmarkStart w:id="8" w:name="_Toc19547"/>
      <w:r>
        <w:rPr>
          <w:rFonts w:hint="eastAsia"/>
        </w:rPr>
        <w:t>公司人事管理管理</w:t>
      </w:r>
      <w:bookmarkEnd w:id="6"/>
      <w:r>
        <w:rPr>
          <w:rFonts w:hint="eastAsia"/>
          <w:lang w:val="en-US" w:eastAsia="zh-CN"/>
        </w:rPr>
        <w:t>概述</w:t>
      </w:r>
      <w:bookmarkEnd w:id="7"/>
      <w:bookmarkEnd w:id="8"/>
    </w:p>
    <w:p w14:paraId="7EB8A632">
      <w:pPr>
        <w:pStyle w:val="51"/>
        <w:bidi w:val="0"/>
        <w:rPr>
          <w:rFonts w:hint="eastAsia"/>
        </w:rPr>
      </w:pPr>
      <w:r>
        <w:rPr>
          <w:rFonts w:hint="eastAsia"/>
        </w:rPr>
        <w:t>因为完善的用工制度是企业用人的前提条件，</w:t>
      </w:r>
      <w:r>
        <w:rPr>
          <w:rFonts w:hint="eastAsia"/>
          <w:lang w:val="en-US" w:eastAsia="zh-CN"/>
        </w:rPr>
        <w:t>2025年4月依照</w:t>
      </w:r>
      <w:r>
        <w:rPr>
          <w:rFonts w:hint="eastAsia"/>
        </w:rPr>
        <w:t>公司已经发布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人事管理的相关制度，规范了人事管理的过程，从而可有保障人事管理有章可循。</w:t>
      </w:r>
      <w:r>
        <w:rPr>
          <w:rFonts w:hint="eastAsia"/>
          <w:lang w:eastAsia="zh-CN"/>
        </w:rPr>
        <w:t>人力资源部</w:t>
      </w:r>
      <w:r>
        <w:rPr>
          <w:rFonts w:hint="eastAsia"/>
        </w:rPr>
        <w:t>将按照公司的各项管理制度开展人事管理工作，使各项工作都能按照公司相关制度来执行，并能使员工通过与切身利益相关的活动来感受公司的“以人为本”的关怀以及制度的严肃氛围。从而使公司各项规范均能有效的良性运转。</w:t>
      </w:r>
    </w:p>
    <w:p w14:paraId="3D2DB314">
      <w:pPr>
        <w:pStyle w:val="51"/>
        <w:bidi w:val="0"/>
        <w:rPr>
          <w:rFonts w:hint="eastAsia"/>
        </w:rPr>
      </w:pPr>
      <w:r>
        <w:rPr>
          <w:rFonts w:hint="eastAsia"/>
          <w:lang w:eastAsia="zh-CN"/>
        </w:rPr>
        <w:t>人力资源部</w:t>
      </w:r>
      <w:r>
        <w:rPr>
          <w:rFonts w:hint="eastAsia"/>
        </w:rPr>
        <w:t>所有的人员都需要遵循相关的流程制度，此项已经列入绩效考核中。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部门经理通过部门例会的形式，对人员执行流程方面进行汇报检查，并在以此作为</w:t>
      </w:r>
      <w:r>
        <w:rPr>
          <w:rFonts w:hint="eastAsia"/>
          <w:lang w:val="en-US" w:eastAsia="zh-CN"/>
        </w:rPr>
        <w:t>月度</w:t>
      </w:r>
      <w:r>
        <w:rPr>
          <w:rFonts w:hint="eastAsia"/>
        </w:rPr>
        <w:t>绩效考核的依据。并在此过程中，发现改进机会，持续对人事管理制度进行改进。截止20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</w:t>
      </w:r>
      <w:r>
        <w:rPr>
          <w:rFonts w:hint="eastAsia"/>
          <w:lang w:val="en-US" w:eastAsia="zh-CN"/>
        </w:rPr>
        <w:t>30日</w:t>
      </w:r>
      <w:r>
        <w:rPr>
          <w:rFonts w:hint="eastAsia"/>
        </w:rPr>
        <w:t>，对人员管理的指标均已达标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详见《运维服务能力管理指标体系达成情况》</w:t>
      </w:r>
      <w:r>
        <w:rPr>
          <w:rFonts w:hint="eastAsia"/>
        </w:rPr>
        <w:t>。</w:t>
      </w:r>
      <w:bookmarkStart w:id="9" w:name="_Toc462056942"/>
    </w:p>
    <w:p w14:paraId="00018E7B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0" w:name="_Toc10935"/>
      <w:bookmarkStart w:id="11" w:name="_Toc16690"/>
      <w:r>
        <w:rPr>
          <w:rFonts w:hint="eastAsia"/>
        </w:rPr>
        <w:t>人员招聘总结</w:t>
      </w:r>
      <w:bookmarkEnd w:id="9"/>
      <w:bookmarkEnd w:id="10"/>
      <w:bookmarkEnd w:id="11"/>
    </w:p>
    <w:p w14:paraId="14A0D290">
      <w:pPr>
        <w:pStyle w:val="5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截止2025年12月，公司</w:t>
      </w:r>
      <w:r>
        <w:rPr>
          <w:rFonts w:hint="eastAsia"/>
        </w:rPr>
        <w:t>新增运维</w:t>
      </w:r>
      <w:r>
        <w:rPr>
          <w:rFonts w:hint="eastAsia"/>
          <w:lang w:val="en-US" w:eastAsia="zh-CN"/>
        </w:rPr>
        <w:t>相关人员9</w:t>
      </w:r>
      <w:r>
        <w:rPr>
          <w:rFonts w:hint="eastAsia"/>
        </w:rPr>
        <w:t>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其中包括6名运维实施工程师、1名数据库工程师、1名软件工程师和1名网络工程师的招聘。具体招聘完成情况如下：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122"/>
      </w:tblGrid>
      <w:tr w14:paraId="38F3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7435" w:type="dxa"/>
            <w:gridSpan w:val="5"/>
          </w:tcPr>
          <w:p w14:paraId="2024138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bookmarkStart w:id="12" w:name="_Toc462056943"/>
            <w:bookmarkStart w:id="13" w:name="_Toc460590612"/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人员招聘情况</w:t>
            </w:r>
          </w:p>
        </w:tc>
      </w:tr>
      <w:tr w14:paraId="6F7E9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1B68D76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225E025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4624C8C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5B5053CE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22" w:type="dxa"/>
          </w:tcPr>
          <w:p w14:paraId="579EBF5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0A1A7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1E13F3C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57257C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8B4CE9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243CFCC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122" w:type="dxa"/>
            <w:shd w:val="clear" w:color="auto" w:fill="auto"/>
          </w:tcPr>
          <w:p w14:paraId="6D17A738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A2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61888046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64B414D7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3EEC479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Align w:val="top"/>
          </w:tcPr>
          <w:p w14:paraId="329E191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122" w:type="dxa"/>
          </w:tcPr>
          <w:p w14:paraId="72A90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239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B03871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38EF54D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1C87DB2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Align w:val="top"/>
          </w:tcPr>
          <w:p w14:paraId="6512CAE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122" w:type="dxa"/>
          </w:tcPr>
          <w:p w14:paraId="2FD355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4CC55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D0BC79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03D30FB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5E57D3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792FC2E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122" w:type="dxa"/>
            <w:shd w:val="clear" w:color="auto" w:fill="auto"/>
          </w:tcPr>
          <w:p w14:paraId="2E58F5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21050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9BC862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62FE9BF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2F22533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563E268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122" w:type="dxa"/>
            <w:shd w:val="clear" w:color="auto" w:fill="auto"/>
          </w:tcPr>
          <w:p w14:paraId="051843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9B0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F79166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1F46622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04C1949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0908F84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122" w:type="dxa"/>
            <w:shd w:val="clear" w:color="auto" w:fill="auto"/>
          </w:tcPr>
          <w:p w14:paraId="355EBA2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378FD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2A8843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0" w:type="auto"/>
            <w:shd w:val="clear" w:color="auto" w:fill="auto"/>
          </w:tcPr>
          <w:p w14:paraId="4CC8267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E25F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746C28BE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1122" w:type="dxa"/>
            <w:shd w:val="clear" w:color="auto" w:fill="auto"/>
          </w:tcPr>
          <w:p w14:paraId="5DDA29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  <w:tr w14:paraId="15C4C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A3E816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0" w:type="auto"/>
            <w:shd w:val="clear" w:color="auto" w:fill="auto"/>
          </w:tcPr>
          <w:p w14:paraId="68F53B4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81E9E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continue"/>
          </w:tcPr>
          <w:p w14:paraId="6FF97EC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122" w:type="dxa"/>
            <w:shd w:val="clear" w:color="auto" w:fill="auto"/>
          </w:tcPr>
          <w:p w14:paraId="3B688E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</w:tbl>
    <w:p w14:paraId="2F3BAF60">
      <w:pPr>
        <w:pStyle w:val="5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截止2025年12月，2025年第、二、三和四季度招聘人员全部到岗，人员招聘到岗率为100%，达到考核指标要求</w:t>
      </w:r>
    </w:p>
    <w:p w14:paraId="48AE4440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4" w:name="_Toc28963"/>
      <w:bookmarkStart w:id="15" w:name="_Toc7240"/>
      <w:r>
        <w:rPr>
          <w:rFonts w:hint="eastAsia"/>
        </w:rPr>
        <w:t>关键岗位储备总结</w:t>
      </w:r>
      <w:bookmarkEnd w:id="12"/>
      <w:bookmarkEnd w:id="13"/>
      <w:bookmarkEnd w:id="14"/>
      <w:bookmarkEnd w:id="15"/>
    </w:p>
    <w:p w14:paraId="58E1F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left"/>
        <w:rPr>
          <w:rFonts w:hint="default" w:ascii="宋体" w:hAnsi="宋体" w:eastAsia="宋体" w:cs="宋体"/>
          <w:sz w:val="24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1"/>
        </w:rPr>
        <w:t>公司针对运维业务中各岗位的重要程度，对关键岗位进行了识别，由公司</w:t>
      </w:r>
      <w:r>
        <w:rPr>
          <w:rFonts w:hint="eastAsia" w:ascii="宋体" w:hAnsi="宋体" w:eastAsia="宋体" w:cs="宋体"/>
          <w:sz w:val="24"/>
          <w:szCs w:val="21"/>
          <w:lang w:eastAsia="zh-CN"/>
        </w:rPr>
        <w:t>人力资源部</w:t>
      </w:r>
      <w:r>
        <w:rPr>
          <w:rFonts w:hint="eastAsia" w:ascii="宋体" w:hAnsi="宋体" w:eastAsia="宋体" w:cs="宋体"/>
          <w:sz w:val="24"/>
          <w:szCs w:val="21"/>
        </w:rPr>
        <w:t>编制关键岗位人员储备计划，</w:t>
      </w:r>
      <w:r>
        <w:rPr>
          <w:rFonts w:hint="eastAsia" w:ascii="宋体" w:hAnsi="宋体" w:cs="宋体"/>
          <w:sz w:val="24"/>
          <w:szCs w:val="21"/>
          <w:lang w:val="en-US" w:eastAsia="zh-CN"/>
        </w:rPr>
        <w:t>截止2025年12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月，应储备运维项目经理2名，运维部经理1人，截止</w:t>
      </w:r>
      <w:r>
        <w:rPr>
          <w:rFonts w:hint="eastAsia" w:ascii="宋体" w:hAnsi="宋体" w:cs="宋体"/>
          <w:sz w:val="24"/>
          <w:szCs w:val="21"/>
          <w:lang w:val="en-US" w:eastAsia="zh-CN"/>
        </w:rPr>
        <w:t>12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月30日已完成2名运维项目经理的储备，1名运维部经理的储备</w:t>
      </w:r>
      <w:r>
        <w:rPr>
          <w:rFonts w:hint="eastAsia" w:ascii="宋体" w:hAnsi="宋体" w:eastAsia="宋体" w:cs="宋体"/>
          <w:sz w:val="24"/>
          <w:szCs w:val="21"/>
        </w:rPr>
        <w:t>。</w:t>
      </w:r>
      <w:r>
        <w:rPr>
          <w:rFonts w:hint="eastAsia" w:ascii="宋体" w:hAnsi="宋体" w:cs="宋体"/>
          <w:sz w:val="24"/>
          <w:szCs w:val="21"/>
          <w:lang w:val="en-US" w:eastAsia="zh-CN"/>
        </w:rPr>
        <w:t>具体储备完成情况如下：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1166"/>
        <w:gridCol w:w="1290"/>
        <w:gridCol w:w="2006"/>
        <w:gridCol w:w="1116"/>
        <w:gridCol w:w="1116"/>
      </w:tblGrid>
      <w:tr w14:paraId="6B14D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9" w:type="dxa"/>
            <w:gridSpan w:val="6"/>
            <w:vAlign w:val="center"/>
          </w:tcPr>
          <w:p w14:paraId="4FE613B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center"/>
              <w:textAlignment w:val="baseline"/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人员储备情况</w:t>
            </w:r>
          </w:p>
        </w:tc>
      </w:tr>
      <w:tr w14:paraId="57FC2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261DC94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166" w:type="dxa"/>
            <w:vAlign w:val="center"/>
          </w:tcPr>
          <w:p w14:paraId="1B0E78A8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290" w:type="dxa"/>
            <w:vAlign w:val="center"/>
          </w:tcPr>
          <w:p w14:paraId="656B2B0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006" w:type="dxa"/>
            <w:vAlign w:val="center"/>
          </w:tcPr>
          <w:p w14:paraId="2D04FC8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16" w:type="dxa"/>
            <w:vAlign w:val="center"/>
          </w:tcPr>
          <w:p w14:paraId="1D723F3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  <w:tc>
          <w:tcPr>
            <w:tcW w:w="1116" w:type="dxa"/>
            <w:shd w:val="clear" w:color="auto" w:fill="auto"/>
          </w:tcPr>
          <w:p w14:paraId="7FDD40C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DF2C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151E108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57D36535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13B8C82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6BE5D97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4BF22FE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419886F7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2CFFF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368C832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0B45EBC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710D183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3ED8C37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6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6AAE46E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68C94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10BA1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0F78449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166" w:type="dxa"/>
            <w:vAlign w:val="center"/>
          </w:tcPr>
          <w:p w14:paraId="0F9BB916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0530CC95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36375CA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8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327EF4A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66FEE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</w:tbl>
    <w:p w14:paraId="222CA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1"/>
        </w:rPr>
      </w:pPr>
      <w:r>
        <w:rPr>
          <w:rFonts w:hint="eastAsia" w:ascii="宋体" w:hAnsi="宋体" w:eastAsia="宋体" w:cs="宋体"/>
          <w:sz w:val="24"/>
          <w:szCs w:val="21"/>
        </w:rPr>
        <w:t>公司关键岗位人员储备方式均为内部培养储备，根据《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运维服务</w:t>
      </w:r>
      <w:r>
        <w:rPr>
          <w:rFonts w:hint="eastAsia" w:ascii="宋体" w:hAnsi="宋体" w:eastAsia="宋体" w:cs="宋体"/>
          <w:sz w:val="24"/>
          <w:szCs w:val="21"/>
        </w:rPr>
        <w:t>人员储备制度》要求，运维服务相关关键岗位储备比1:1。截止目前为止，关键岗位已经按计划完成了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/>
        </w:rPr>
        <w:t>运维项目经理</w:t>
      </w:r>
      <w:r>
        <w:rPr>
          <w:rFonts w:hint="eastAsia" w:ascii="宋体" w:hAnsi="宋体" w:cs="宋体"/>
          <w:kern w:val="0"/>
          <w:sz w:val="24"/>
          <w:szCs w:val="24"/>
          <w:lang w:val="en-US" w:eastAsia="zh-CN"/>
        </w:rPr>
        <w:t>和运维部经理储备工作。</w:t>
      </w:r>
      <w:r>
        <w:rPr>
          <w:rFonts w:hint="eastAsia" w:ascii="宋体" w:hAnsi="宋体" w:eastAsia="宋体" w:cs="宋体"/>
          <w:sz w:val="24"/>
          <w:szCs w:val="21"/>
        </w:rPr>
        <w:t>运维服务相关关键岗位储备率为100%，</w:t>
      </w:r>
      <w:r>
        <w:rPr>
          <w:rFonts w:hint="eastAsia" w:ascii="宋体" w:hAnsi="宋体" w:cs="宋体"/>
          <w:sz w:val="24"/>
          <w:szCs w:val="21"/>
          <w:lang w:val="en-US" w:eastAsia="zh-CN"/>
        </w:rPr>
        <w:t>达到考核指标要求</w:t>
      </w:r>
    </w:p>
    <w:p w14:paraId="6C4BE96C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6" w:name="_Toc2047"/>
      <w:bookmarkStart w:id="17" w:name="_Toc460590613"/>
      <w:bookmarkStart w:id="18" w:name="_Toc22746"/>
      <w:bookmarkStart w:id="19" w:name="_Toc462056944"/>
      <w:r>
        <w:rPr>
          <w:rFonts w:hint="eastAsia"/>
        </w:rPr>
        <w:t>运维相关人员业务培训</w:t>
      </w:r>
      <w:bookmarkEnd w:id="16"/>
      <w:bookmarkEnd w:id="17"/>
      <w:bookmarkEnd w:id="18"/>
      <w:bookmarkEnd w:id="19"/>
    </w:p>
    <w:p w14:paraId="5A13E6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default" w:ascii="宋体" w:hAnsi="宋体" w:eastAsia="宋体" w:cs="宋体"/>
          <w:sz w:val="24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1"/>
        </w:rPr>
        <w:t>建立和完善运维人员培训体系，形成企业文化、员工心态、管理软技能、业务岗位技术课程相集合的培训课程体系。截至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2025年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1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</w:t>
      </w:r>
      <w:r>
        <w:rPr>
          <w:rFonts w:hint="eastAsia" w:ascii="宋体" w:hAnsi="宋体" w:eastAsia="宋体" w:cs="宋体"/>
          <w:sz w:val="24"/>
          <w:szCs w:val="21"/>
        </w:rPr>
        <w:t>，共开展各种培训共计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29</w:t>
      </w:r>
      <w:r>
        <w:rPr>
          <w:rFonts w:hint="eastAsia" w:ascii="宋体" w:hAnsi="宋体" w:eastAsia="宋体" w:cs="宋体"/>
          <w:sz w:val="24"/>
          <w:szCs w:val="21"/>
        </w:rPr>
        <w:t>次，按期完成的计划培训的内容。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2025年第二、三和四季度培训课程全部完成。下一阶段将开展2026年第一季度的培训任务。</w:t>
      </w:r>
    </w:p>
    <w:tbl>
      <w:tblPr>
        <w:tblStyle w:val="30"/>
        <w:tblW w:w="743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2079"/>
        <w:gridCol w:w="1491"/>
        <w:gridCol w:w="993"/>
        <w:gridCol w:w="792"/>
        <w:gridCol w:w="1405"/>
      </w:tblGrid>
      <w:tr w14:paraId="49F03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43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017C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bookmarkStart w:id="20" w:name="_Toc460590614"/>
            <w:bookmarkStart w:id="21" w:name="_Toc462056945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人员培训完成情况</w:t>
            </w:r>
          </w:p>
        </w:tc>
      </w:tr>
      <w:tr w14:paraId="3E3EE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2388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12FF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8EC8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017D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BD3A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DC43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完成情况</w:t>
            </w:r>
          </w:p>
        </w:tc>
      </w:tr>
      <w:tr w14:paraId="4FC2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CE03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6582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382C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1176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AEE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B810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C350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C27E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D4FC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FB11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CDAF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B334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839E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9AA7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F834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60B3A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3837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ED48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F7C66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8D789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AFE8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9648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871F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7D62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9D64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E023B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AEE50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6042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550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6C940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D7B0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D00A2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7039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DB93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0D16B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7FA1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49D5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EF05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987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1D41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CCF1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65C4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594C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A5C5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BEA3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39DB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3213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90057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D306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E2C0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796A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864F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4969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70B7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21CE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181F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F660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793BE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4F3E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BA18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FF13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1DF40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F2F6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200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1139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DBE06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9053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4D5E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E0C7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64D0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69C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53F0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3F33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45DE0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DD5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F39EC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069C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EB72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5A20C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531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825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837F0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CFF1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F328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72CB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825D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4DA1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277A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837E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16F8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08404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33E2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CF512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0599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EA53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C41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C432A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A06A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5E6C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B49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19AA9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38F7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6AB9E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EEDC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E840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B95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E309BA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6DFC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12B9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BF0B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A6A3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961F5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3E13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45C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0899D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5E1D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3850C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091E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BC86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3707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58D96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CFD0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F1B2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2C35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74A4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EBCB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2C82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141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6E6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E887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88BE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051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BC2B1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7A3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629B7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C03F9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5E23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6847C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E990C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8E11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BF64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5162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308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69B5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16F6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0692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C0F7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87E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E83F2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509B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19DE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F385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2058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7E06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C11B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732D5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2411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BBFB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8EE5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071C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9963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CF4A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60E1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4B8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EE43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AE161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5FDA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03DAD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214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73D6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6D94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CE183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4FC7D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85D91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9747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C8A2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F2A4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C1CC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316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07A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52D0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A54A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36F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0F526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AD88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1944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8F3CD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5B83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0DF6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3770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E9AD0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8EFF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5666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DFF49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BF9B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5A5FD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45DB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C7BF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E1D83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BC2A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23D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92D5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62E1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7CB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B1F4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7DD6A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FE0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3460C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A55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5B08E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51B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5EC1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67B3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3DA4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6A0D0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88FEB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3F61B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D37B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9E0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服务数据管理制度培训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9C0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3EA7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E57C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4272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25C2E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A8E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836B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版本管理工具培训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D08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FA3E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530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1A9F6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49F35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2B66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A789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C43E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27F6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8B8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BD8B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4E50A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48A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317C7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E905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8C52A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3393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F7C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76A99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91138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F9D254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267D0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31F3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F49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BC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2D059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68F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FF675D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E481B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0B365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98D0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C072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09DA8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FF06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D67C6A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E541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D1644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425E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8FB6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 w14:paraId="33B8D1F8">
      <w:pPr>
        <w:bidi w:val="0"/>
        <w:rPr>
          <w:rFonts w:hint="eastAsia"/>
        </w:rPr>
      </w:pPr>
    </w:p>
    <w:p w14:paraId="25F6D878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22" w:name="_Toc2503"/>
      <w:bookmarkStart w:id="23" w:name="_Toc3917"/>
      <w:r>
        <w:rPr>
          <w:rFonts w:hint="eastAsia"/>
          <w:lang w:val="en-US" w:eastAsia="zh-CN"/>
        </w:rPr>
        <w:t>运维人员备份总结</w:t>
      </w:r>
      <w:bookmarkEnd w:id="22"/>
      <w:bookmarkEnd w:id="23"/>
    </w:p>
    <w:p w14:paraId="241F621D">
      <w:pPr>
        <w:pStyle w:val="5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截止2025年12月底</w:t>
      </w:r>
      <w:r>
        <w:t>AB岗备份</w:t>
      </w:r>
      <w:r>
        <w:rPr>
          <w:rFonts w:hint="eastAsia"/>
          <w:lang w:val="en-US" w:eastAsia="zh-CN"/>
        </w:rPr>
        <w:t>情况正在按计划进行中</w:t>
      </w:r>
      <w:r>
        <w:t>。相关岗位的备份人员均已落实，并通过系统化的知识传递与流程培训，掌握了对应A岗的核心职责与应急操作流程。该计划的执行为保障关键岗位工作连续性、支撑年度业务发展目标奠定了扎实基础。</w:t>
      </w:r>
      <w:r>
        <w:rPr>
          <w:rFonts w:hint="eastAsia"/>
          <w:lang w:val="en-US" w:eastAsia="zh-CN"/>
        </w:rPr>
        <w:t>截止2025年12月按照备份计划对运维部经理的B岗设置为运维项目经理，备份人数2人；运维项目经理的B岗设置为运维实施工程师，备份人数3人；研发部经理的B岗设置为系统架构师，备份人数1人。2025年第二、三和四季度的季度备份成功率达到100%。并计划于2026年1月完成备件库经理的备份。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1420"/>
        <w:gridCol w:w="1777"/>
        <w:gridCol w:w="1575"/>
        <w:gridCol w:w="1500"/>
        <w:gridCol w:w="1500"/>
      </w:tblGrid>
      <w:tr w14:paraId="091A2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575939D1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420" w:type="dxa"/>
          </w:tcPr>
          <w:p w14:paraId="02CDB8B7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A岗位</w:t>
            </w:r>
          </w:p>
        </w:tc>
        <w:tc>
          <w:tcPr>
            <w:tcW w:w="1777" w:type="dxa"/>
          </w:tcPr>
          <w:p w14:paraId="0D450616">
            <w:pPr>
              <w:pStyle w:val="51"/>
              <w:widowControl w:val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B岗</w:t>
            </w:r>
          </w:p>
        </w:tc>
        <w:tc>
          <w:tcPr>
            <w:tcW w:w="1575" w:type="dxa"/>
          </w:tcPr>
          <w:p w14:paraId="6BBFD88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500" w:type="dxa"/>
          </w:tcPr>
          <w:p w14:paraId="4F739CF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500" w:type="dxa"/>
          </w:tcPr>
          <w:p w14:paraId="640614F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35724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38E8E25F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3B5D5E39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777" w:type="dxa"/>
          </w:tcPr>
          <w:p w14:paraId="7BA04CB3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575" w:type="dxa"/>
          </w:tcPr>
          <w:p w14:paraId="02C5116D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 w14:paraId="4E4F7921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500" w:type="dxa"/>
          </w:tcPr>
          <w:p w14:paraId="520D5CE6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1600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B649E81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1E80BD74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 w14:paraId="5E34CF58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 w14:paraId="2B52BF11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207F6322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500" w:type="dxa"/>
          </w:tcPr>
          <w:p w14:paraId="66255A48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2E351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1A8553B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5CFB653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 w14:paraId="76D4755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 w14:paraId="62B551DD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 w14:paraId="3BBB327F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500" w:type="dxa"/>
          </w:tcPr>
          <w:p w14:paraId="27EF7AA9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388C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666210F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0D0EFA6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1777" w:type="dxa"/>
          </w:tcPr>
          <w:p w14:paraId="0A59A7BA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575" w:type="dxa"/>
          </w:tcPr>
          <w:p w14:paraId="71B05513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489C3DCE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500" w:type="dxa"/>
          </w:tcPr>
          <w:p w14:paraId="69365D5F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DD1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2AF2219E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38FE4F5E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1777" w:type="dxa"/>
          </w:tcPr>
          <w:p w14:paraId="1504F4E5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575" w:type="dxa"/>
          </w:tcPr>
          <w:p w14:paraId="7613D975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145A4ACB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1500" w:type="dxa"/>
          </w:tcPr>
          <w:p w14:paraId="25BF6619">
            <w:pPr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未开始</w:t>
            </w:r>
          </w:p>
        </w:tc>
      </w:tr>
    </w:tbl>
    <w:p w14:paraId="6A63D8DF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24" w:name="_Toc5613"/>
      <w:bookmarkStart w:id="25" w:name="_Toc13252"/>
      <w:r>
        <w:rPr>
          <w:rFonts w:hint="eastAsia"/>
        </w:rPr>
        <w:t>运维人员绩效考核</w:t>
      </w:r>
      <w:bookmarkEnd w:id="20"/>
      <w:bookmarkEnd w:id="21"/>
      <w:bookmarkEnd w:id="24"/>
      <w:bookmarkEnd w:id="25"/>
    </w:p>
    <w:p w14:paraId="20D59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根据《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绩效考评管理办法</w:t>
      </w:r>
      <w:r>
        <w:rPr>
          <w:rFonts w:hint="eastAsia" w:ascii="宋体" w:hAnsi="宋体" w:eastAsia="宋体" w:cs="宋体"/>
          <w:sz w:val="24"/>
          <w:szCs w:val="24"/>
        </w:rPr>
        <w:t>》规定，每月对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运维部</w:t>
      </w:r>
      <w:r>
        <w:rPr>
          <w:rFonts w:hint="eastAsia" w:ascii="宋体" w:hAnsi="宋体" w:eastAsia="宋体" w:cs="宋体"/>
          <w:sz w:val="24"/>
          <w:szCs w:val="24"/>
        </w:rPr>
        <w:t>员工的工作计划安排和任务完成情况进行考核，全面评价工作业绩，为员工绩效工资提供必要的依据，也为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人力资源部</w:t>
      </w:r>
      <w:r>
        <w:rPr>
          <w:rFonts w:hint="eastAsia" w:ascii="宋体" w:hAnsi="宋体" w:eastAsia="宋体" w:cs="宋体"/>
          <w:sz w:val="24"/>
          <w:szCs w:val="24"/>
        </w:rPr>
        <w:t>对员工的晋升、降职、解聘、岗位调整和人才储备提供依据，通过考核结果的合理运用，营造一个激励员工奋发向上的工作氛围。针对绩效不及格员工，进行有效的绩效沟通与绩效改进计划并监督实施，加深公司员工对于工作职责和工作目标的认知，提高员工在工作中的主动性和积极性，改进工作业绩，通过绩效考核设置的循序引导，实现部门与个人工作的优化与能力提升，从而有效提升公司整体绩效，提供公司保持可持续发展的动力，达到公司与个人之间的双赢的目的。</w:t>
      </w:r>
    </w:p>
    <w:p w14:paraId="2D0B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z w:val="24"/>
          <w:szCs w:val="24"/>
        </w:rPr>
        <w:t>按照绩效考核制度的要求，每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</w:t>
      </w:r>
      <w:r>
        <w:rPr>
          <w:rFonts w:hint="eastAsia" w:ascii="宋体" w:hAnsi="宋体" w:eastAsia="宋体" w:cs="宋体"/>
          <w:sz w:val="24"/>
          <w:szCs w:val="24"/>
        </w:rPr>
        <w:t>对公司各岗位人员进行了考核，经整理各岗位的绩效考核结果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如下</w:t>
      </w:r>
    </w:p>
    <w:tbl>
      <w:tblPr>
        <w:tblStyle w:val="31"/>
        <w:tblW w:w="78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757"/>
        <w:gridCol w:w="757"/>
        <w:gridCol w:w="757"/>
        <w:gridCol w:w="757"/>
        <w:gridCol w:w="757"/>
        <w:gridCol w:w="757"/>
        <w:gridCol w:w="762"/>
        <w:gridCol w:w="762"/>
        <w:gridCol w:w="762"/>
      </w:tblGrid>
      <w:tr w14:paraId="23954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4" w:hRule="atLeast"/>
        </w:trPr>
        <w:tc>
          <w:tcPr>
            <w:tcW w:w="985" w:type="dxa"/>
          </w:tcPr>
          <w:p w14:paraId="7A43BC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年份</w:t>
            </w:r>
          </w:p>
        </w:tc>
        <w:tc>
          <w:tcPr>
            <w:tcW w:w="6828" w:type="dxa"/>
            <w:gridSpan w:val="9"/>
          </w:tcPr>
          <w:p w14:paraId="2BE2FE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bookmarkStart w:id="28" w:name="_GoBack"/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2025年4月-2025年12月</w:t>
            </w:r>
            <w:bookmarkEnd w:id="28"/>
          </w:p>
        </w:tc>
      </w:tr>
      <w:tr w14:paraId="4A6D1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85" w:type="dxa"/>
          </w:tcPr>
          <w:p w14:paraId="4F7BFD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月份</w:t>
            </w:r>
          </w:p>
        </w:tc>
        <w:tc>
          <w:tcPr>
            <w:tcW w:w="757" w:type="dxa"/>
          </w:tcPr>
          <w:p w14:paraId="3E2690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4月</w:t>
            </w:r>
          </w:p>
        </w:tc>
        <w:tc>
          <w:tcPr>
            <w:tcW w:w="757" w:type="dxa"/>
          </w:tcPr>
          <w:p w14:paraId="5558D6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5月</w:t>
            </w:r>
          </w:p>
        </w:tc>
        <w:tc>
          <w:tcPr>
            <w:tcW w:w="757" w:type="dxa"/>
          </w:tcPr>
          <w:p w14:paraId="28A67C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6月</w:t>
            </w:r>
          </w:p>
        </w:tc>
        <w:tc>
          <w:tcPr>
            <w:tcW w:w="757" w:type="dxa"/>
          </w:tcPr>
          <w:p w14:paraId="55FA50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7月</w:t>
            </w:r>
          </w:p>
        </w:tc>
        <w:tc>
          <w:tcPr>
            <w:tcW w:w="757" w:type="dxa"/>
            <w:vAlign w:val="top"/>
          </w:tcPr>
          <w:p w14:paraId="372C20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8月</w:t>
            </w:r>
          </w:p>
        </w:tc>
        <w:tc>
          <w:tcPr>
            <w:tcW w:w="757" w:type="dxa"/>
            <w:vAlign w:val="top"/>
          </w:tcPr>
          <w:p w14:paraId="09992F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9月</w:t>
            </w:r>
          </w:p>
        </w:tc>
        <w:tc>
          <w:tcPr>
            <w:tcW w:w="762" w:type="dxa"/>
            <w:vAlign w:val="top"/>
          </w:tcPr>
          <w:p w14:paraId="422717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10月</w:t>
            </w:r>
          </w:p>
        </w:tc>
        <w:tc>
          <w:tcPr>
            <w:tcW w:w="762" w:type="dxa"/>
            <w:vAlign w:val="top"/>
          </w:tcPr>
          <w:p w14:paraId="7C7818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11月</w:t>
            </w:r>
          </w:p>
        </w:tc>
        <w:tc>
          <w:tcPr>
            <w:tcW w:w="762" w:type="dxa"/>
            <w:vAlign w:val="top"/>
          </w:tcPr>
          <w:p w14:paraId="398881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12月</w:t>
            </w:r>
          </w:p>
        </w:tc>
      </w:tr>
      <w:tr w14:paraId="007F2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5" w:type="dxa"/>
          </w:tcPr>
          <w:p w14:paraId="0CC1F7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合格率</w:t>
            </w:r>
          </w:p>
        </w:tc>
        <w:tc>
          <w:tcPr>
            <w:tcW w:w="757" w:type="dxa"/>
          </w:tcPr>
          <w:p w14:paraId="3A0A7B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96%</w:t>
            </w:r>
          </w:p>
        </w:tc>
        <w:tc>
          <w:tcPr>
            <w:tcW w:w="757" w:type="dxa"/>
          </w:tcPr>
          <w:p w14:paraId="060C89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57" w:type="dxa"/>
          </w:tcPr>
          <w:p w14:paraId="21AB43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  <w:tc>
          <w:tcPr>
            <w:tcW w:w="757" w:type="dxa"/>
          </w:tcPr>
          <w:p w14:paraId="669F1C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99%</w:t>
            </w:r>
          </w:p>
        </w:tc>
        <w:tc>
          <w:tcPr>
            <w:tcW w:w="757" w:type="dxa"/>
            <w:vAlign w:val="top"/>
          </w:tcPr>
          <w:p w14:paraId="242C0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57" w:type="dxa"/>
            <w:vAlign w:val="top"/>
          </w:tcPr>
          <w:p w14:paraId="069CE9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62" w:type="dxa"/>
            <w:vAlign w:val="top"/>
          </w:tcPr>
          <w:p w14:paraId="6A2449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62" w:type="dxa"/>
            <w:shd w:val="clear" w:color="auto" w:fill="auto"/>
            <w:vAlign w:val="top"/>
          </w:tcPr>
          <w:p w14:paraId="78C3BD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62" w:type="dxa"/>
            <w:shd w:val="clear" w:color="auto" w:fill="auto"/>
            <w:vAlign w:val="top"/>
          </w:tcPr>
          <w:p w14:paraId="28A79C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</w:tr>
    </w:tbl>
    <w:p w14:paraId="0D06D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根据统计，截止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2025年12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月，运维服务各部门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月度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考核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合格率均超过95%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。运维服务工作运行良好。</w:t>
      </w:r>
    </w:p>
    <w:p w14:paraId="3F4FDDB0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26" w:name="_Toc28020"/>
      <w:bookmarkStart w:id="27" w:name="_Toc27620"/>
      <w:r>
        <w:rPr>
          <w:rFonts w:hint="eastAsia"/>
          <w:lang w:val="en-US" w:eastAsia="zh-CN"/>
        </w:rPr>
        <w:t>技能评价</w:t>
      </w:r>
      <w:bookmarkEnd w:id="26"/>
      <w:bookmarkEnd w:id="27"/>
    </w:p>
    <w:p w14:paraId="5ADB4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根据《技能评价管理制度》和《运维相关人员管理计划》，技能评价于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2026年3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月第一周进行。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605FC2">
    <w:pPr>
      <w:pStyle w:val="19"/>
      <w:jc w:val="center"/>
      <w:rPr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4309B">
    <w:pPr>
      <w:pStyle w:val="20"/>
      <w:pBdr>
        <w:bottom w:val="none" w:color="auto" w:sz="0" w:space="0"/>
      </w:pBdr>
      <w:jc w:val="right"/>
      <w:rPr>
        <w:rFonts w:hint="default" w:ascii="宋体" w:hAnsi="宋体" w:eastAsiaTheme="majorEastAsia"/>
        <w:b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</w:docVars>
  <w:rsids>
    <w:rsidRoot w:val="00000000"/>
    <w:rsid w:val="00046CA0"/>
    <w:rsid w:val="0135069C"/>
    <w:rsid w:val="04561A95"/>
    <w:rsid w:val="048D17D5"/>
    <w:rsid w:val="058368B9"/>
    <w:rsid w:val="06964D1E"/>
    <w:rsid w:val="084542FA"/>
    <w:rsid w:val="08CA47FF"/>
    <w:rsid w:val="08DB6A0C"/>
    <w:rsid w:val="098A46BA"/>
    <w:rsid w:val="0C2661F0"/>
    <w:rsid w:val="0C903ABA"/>
    <w:rsid w:val="0EAA3109"/>
    <w:rsid w:val="0EC266A4"/>
    <w:rsid w:val="10E37BC0"/>
    <w:rsid w:val="11A70936"/>
    <w:rsid w:val="12AC0CCA"/>
    <w:rsid w:val="166F6D46"/>
    <w:rsid w:val="17F3167D"/>
    <w:rsid w:val="181C719D"/>
    <w:rsid w:val="18493992"/>
    <w:rsid w:val="19185113"/>
    <w:rsid w:val="1AC15A62"/>
    <w:rsid w:val="1AC63078"/>
    <w:rsid w:val="1AD357A5"/>
    <w:rsid w:val="1B283D33"/>
    <w:rsid w:val="1B650AE3"/>
    <w:rsid w:val="1B8B6070"/>
    <w:rsid w:val="1BDE2644"/>
    <w:rsid w:val="1C142509"/>
    <w:rsid w:val="1D7C3EC2"/>
    <w:rsid w:val="1EBA6200"/>
    <w:rsid w:val="1ED33FB6"/>
    <w:rsid w:val="1EF81C6E"/>
    <w:rsid w:val="1F1B3C66"/>
    <w:rsid w:val="1FA4338D"/>
    <w:rsid w:val="221B0A81"/>
    <w:rsid w:val="22640A21"/>
    <w:rsid w:val="25701526"/>
    <w:rsid w:val="2879797C"/>
    <w:rsid w:val="2AB1724D"/>
    <w:rsid w:val="2B434271"/>
    <w:rsid w:val="2C1F4CDE"/>
    <w:rsid w:val="2DA82AB1"/>
    <w:rsid w:val="2DC7118A"/>
    <w:rsid w:val="2DF25242"/>
    <w:rsid w:val="2E7A444E"/>
    <w:rsid w:val="2ED139DD"/>
    <w:rsid w:val="2FB971F8"/>
    <w:rsid w:val="32B32FBF"/>
    <w:rsid w:val="34763909"/>
    <w:rsid w:val="35E253EB"/>
    <w:rsid w:val="36783A7D"/>
    <w:rsid w:val="3B37018E"/>
    <w:rsid w:val="3DC2196D"/>
    <w:rsid w:val="414032D5"/>
    <w:rsid w:val="44BD726F"/>
    <w:rsid w:val="459E0847"/>
    <w:rsid w:val="465670F7"/>
    <w:rsid w:val="46B61944"/>
    <w:rsid w:val="481C5FBB"/>
    <w:rsid w:val="499A379E"/>
    <w:rsid w:val="4D3A32CE"/>
    <w:rsid w:val="4E776F78"/>
    <w:rsid w:val="4E916F1E"/>
    <w:rsid w:val="50650662"/>
    <w:rsid w:val="509C7DFC"/>
    <w:rsid w:val="516E1798"/>
    <w:rsid w:val="51844B18"/>
    <w:rsid w:val="51D60F76"/>
    <w:rsid w:val="53C27B7A"/>
    <w:rsid w:val="53DE403B"/>
    <w:rsid w:val="545B59CC"/>
    <w:rsid w:val="5473040A"/>
    <w:rsid w:val="54D45DB6"/>
    <w:rsid w:val="57411EE0"/>
    <w:rsid w:val="57491CAE"/>
    <w:rsid w:val="57843E2F"/>
    <w:rsid w:val="59A3044D"/>
    <w:rsid w:val="59B77A55"/>
    <w:rsid w:val="5B767BC7"/>
    <w:rsid w:val="5D9F0E93"/>
    <w:rsid w:val="5DAE15BA"/>
    <w:rsid w:val="5ED450D2"/>
    <w:rsid w:val="61461DEA"/>
    <w:rsid w:val="640E2967"/>
    <w:rsid w:val="64D23995"/>
    <w:rsid w:val="658253BB"/>
    <w:rsid w:val="65E9368C"/>
    <w:rsid w:val="66E005EB"/>
    <w:rsid w:val="672229B1"/>
    <w:rsid w:val="684F18BF"/>
    <w:rsid w:val="69961435"/>
    <w:rsid w:val="6BAA566B"/>
    <w:rsid w:val="6C044A6D"/>
    <w:rsid w:val="6C8859AD"/>
    <w:rsid w:val="6CE150BD"/>
    <w:rsid w:val="6FCD3C95"/>
    <w:rsid w:val="6FE078AE"/>
    <w:rsid w:val="70F51137"/>
    <w:rsid w:val="71EC2BF4"/>
    <w:rsid w:val="725B321B"/>
    <w:rsid w:val="73F45015"/>
    <w:rsid w:val="74371420"/>
    <w:rsid w:val="75151DA7"/>
    <w:rsid w:val="752C0E9F"/>
    <w:rsid w:val="759B4CA8"/>
    <w:rsid w:val="75B02ED8"/>
    <w:rsid w:val="75F856EB"/>
    <w:rsid w:val="77AB254F"/>
    <w:rsid w:val="78106856"/>
    <w:rsid w:val="7C2823C0"/>
    <w:rsid w:val="7C9A0DE4"/>
    <w:rsid w:val="7D7C0E3C"/>
    <w:rsid w:val="7D965A4F"/>
    <w:rsid w:val="7ED91F60"/>
    <w:rsid w:val="7F4C461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link w:val="39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ind w:left="2520" w:leftChars="1200"/>
    </w:pPr>
  </w:style>
  <w:style w:type="paragraph" w:styleId="12">
    <w:name w:val="Document Map"/>
    <w:basedOn w:val="1"/>
    <w:link w:val="42"/>
    <w:qFormat/>
    <w:uiPriority w:val="0"/>
    <w:pPr>
      <w:shd w:val="clear" w:color="auto" w:fill="000080"/>
    </w:pPr>
  </w:style>
  <w:style w:type="paragraph" w:styleId="13">
    <w:name w:val="annotation text"/>
    <w:basedOn w:val="1"/>
    <w:link w:val="45"/>
    <w:qFormat/>
    <w:uiPriority w:val="0"/>
    <w:pPr>
      <w:jc w:val="left"/>
    </w:pPr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5"/>
    <w:basedOn w:val="1"/>
    <w:next w:val="1"/>
    <w:qFormat/>
    <w:uiPriority w:val="0"/>
    <w:pPr>
      <w:ind w:left="1680" w:leftChars="800"/>
    </w:pPr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8"/>
    <w:basedOn w:val="1"/>
    <w:next w:val="1"/>
    <w:qFormat/>
    <w:uiPriority w:val="0"/>
    <w:pPr>
      <w:ind w:left="2940" w:leftChars="1400"/>
    </w:pPr>
  </w:style>
  <w:style w:type="paragraph" w:styleId="18">
    <w:name w:val="Balloon Text"/>
    <w:basedOn w:val="1"/>
    <w:link w:val="44"/>
    <w:qFormat/>
    <w:uiPriority w:val="0"/>
    <w:rPr>
      <w:sz w:val="18"/>
    </w:rPr>
  </w:style>
  <w:style w:type="paragraph" w:styleId="19">
    <w:name w:val="footer"/>
    <w:basedOn w:val="1"/>
    <w:link w:val="3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link w:val="3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2">
    <w:name w:val="toc 4"/>
    <w:basedOn w:val="1"/>
    <w:next w:val="1"/>
    <w:qFormat/>
    <w:uiPriority w:val="0"/>
    <w:pPr>
      <w:ind w:left="1260" w:leftChars="600"/>
    </w:pPr>
  </w:style>
  <w:style w:type="paragraph" w:styleId="23">
    <w:name w:val="toc 6"/>
    <w:basedOn w:val="1"/>
    <w:next w:val="1"/>
    <w:qFormat/>
    <w:uiPriority w:val="0"/>
    <w:pPr>
      <w:ind w:left="2100" w:leftChars="1000"/>
    </w:pPr>
  </w:style>
  <w:style w:type="paragraph" w:styleId="24">
    <w:name w:val="toc 2"/>
    <w:basedOn w:val="1"/>
    <w:next w:val="1"/>
    <w:qFormat/>
    <w:uiPriority w:val="0"/>
    <w:pPr>
      <w:ind w:left="420" w:leftChars="200"/>
    </w:pPr>
  </w:style>
  <w:style w:type="paragraph" w:styleId="25">
    <w:name w:val="toc 9"/>
    <w:basedOn w:val="1"/>
    <w:next w:val="1"/>
    <w:qFormat/>
    <w:uiPriority w:val="0"/>
    <w:pPr>
      <w:ind w:left="3360" w:leftChars="1600"/>
    </w:pPr>
  </w:style>
  <w:style w:type="paragraph" w:styleId="26">
    <w:name w:val="Normal (Web)"/>
    <w:basedOn w:val="1"/>
    <w:qFormat/>
    <w:uiPriority w:val="0"/>
    <w:rPr>
      <w:sz w:val="24"/>
    </w:rPr>
  </w:style>
  <w:style w:type="paragraph" w:styleId="2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8">
    <w:name w:val="annotation subject"/>
    <w:basedOn w:val="13"/>
    <w:next w:val="13"/>
    <w:link w:val="46"/>
    <w:qFormat/>
    <w:uiPriority w:val="0"/>
    <w:rPr>
      <w:b/>
    </w:rPr>
  </w:style>
  <w:style w:type="paragraph" w:styleId="29">
    <w:name w:val="Body Text First Indent"/>
    <w:basedOn w:val="14"/>
    <w:qFormat/>
    <w:uiPriority w:val="0"/>
    <w:pPr>
      <w:ind w:firstLine="420" w:firstLineChars="100"/>
    </w:p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Hyperlink"/>
    <w:basedOn w:val="32"/>
    <w:qFormat/>
    <w:uiPriority w:val="0"/>
    <w:rPr>
      <w:color w:val="0000FF"/>
      <w:u w:val="single"/>
    </w:rPr>
  </w:style>
  <w:style w:type="character" w:styleId="35">
    <w:name w:val="annotation reference"/>
    <w:basedOn w:val="32"/>
    <w:qFormat/>
    <w:uiPriority w:val="0"/>
    <w:rPr>
      <w:sz w:val="21"/>
    </w:rPr>
  </w:style>
  <w:style w:type="character" w:customStyle="1" w:styleId="36">
    <w:name w:val="标题 2 字符"/>
    <w:link w:val="3"/>
    <w:autoRedefine/>
    <w:semiHidden/>
    <w:qFormat/>
    <w:uiPriority w:val="9"/>
    <w:rPr>
      <w:rFonts w:ascii="Arial" w:hAnsi="Arial" w:eastAsia="黑体"/>
      <w:b/>
      <w:sz w:val="32"/>
    </w:rPr>
  </w:style>
  <w:style w:type="character" w:customStyle="1" w:styleId="37">
    <w:name w:val="页眉 字符"/>
    <w:link w:val="20"/>
    <w:autoRedefine/>
    <w:qFormat/>
    <w:uiPriority w:val="99"/>
    <w:rPr>
      <w:sz w:val="18"/>
    </w:rPr>
  </w:style>
  <w:style w:type="character" w:customStyle="1" w:styleId="38">
    <w:name w:val="页脚 字符"/>
    <w:link w:val="19"/>
    <w:autoRedefine/>
    <w:qFormat/>
    <w:uiPriority w:val="99"/>
    <w:rPr>
      <w:sz w:val="18"/>
    </w:rPr>
  </w:style>
  <w:style w:type="character" w:customStyle="1" w:styleId="39">
    <w:name w:val="标题 1 字符"/>
    <w:link w:val="2"/>
    <w:autoRedefine/>
    <w:qFormat/>
    <w:uiPriority w:val="9"/>
    <w:rPr>
      <w:b/>
      <w:kern w:val="44"/>
      <w:sz w:val="44"/>
    </w:rPr>
  </w:style>
  <w:style w:type="paragraph" w:customStyle="1" w:styleId="40">
    <w:name w:val="TOC 标题1"/>
    <w:basedOn w:val="2"/>
    <w:next w:val="1"/>
    <w:autoRedefine/>
    <w:unhideWhenUsed/>
    <w:qFormat/>
    <w:uiPriority w:val="39"/>
    <w:pPr>
      <w:spacing w:line="578" w:lineRule="auto"/>
      <w:outlineLvl w:val="9"/>
    </w:pPr>
    <w:rPr>
      <w:b w:val="0"/>
      <w:sz w:val="44"/>
    </w:rPr>
  </w:style>
  <w:style w:type="paragraph" w:customStyle="1" w:styleId="41">
    <w:name w:val="Default"/>
    <w:autoRedefine/>
    <w:qFormat/>
    <w:uiPriority w:val="0"/>
    <w:pPr>
      <w:widowControl w:val="0"/>
      <w:autoSpaceDE w:val="0"/>
      <w:autoSpaceDN w:val="0"/>
      <w:adjustRightInd w:val="0"/>
      <w:spacing w:after="200" w:line="276" w:lineRule="auto"/>
    </w:pPr>
    <w:rPr>
      <w:rFonts w:ascii="黑体" w:hAnsi="Times New Roman" w:eastAsia="黑体" w:cs="黑体"/>
      <w:color w:val="000000"/>
      <w:sz w:val="24"/>
      <w:szCs w:val="24"/>
      <w:lang w:val="en-US" w:eastAsia="zh-CN" w:bidi="ar-SA"/>
    </w:rPr>
  </w:style>
  <w:style w:type="character" w:customStyle="1" w:styleId="42">
    <w:name w:val="文档结构图 字符"/>
    <w:link w:val="12"/>
    <w:autoRedefine/>
    <w:semiHidden/>
    <w:qFormat/>
    <w:uiPriority w:val="99"/>
  </w:style>
  <w:style w:type="character" w:customStyle="1" w:styleId="43">
    <w:name w:val="font21"/>
    <w:basedOn w:val="32"/>
    <w:autoRedefine/>
    <w:qFormat/>
    <w:uiPriority w:val="0"/>
    <w:rPr>
      <w:rFonts w:hint="eastAsia" w:ascii="等线 Light" w:hAnsi="等线 Light" w:eastAsia="等线 Light" w:cs="等线 Light"/>
      <w:color w:val="000000"/>
      <w:sz w:val="24"/>
      <w:szCs w:val="24"/>
      <w:u w:val="none"/>
    </w:rPr>
  </w:style>
  <w:style w:type="character" w:customStyle="1" w:styleId="44">
    <w:name w:val="批注框文本 字符"/>
    <w:link w:val="18"/>
    <w:autoRedefine/>
    <w:semiHidden/>
    <w:qFormat/>
    <w:uiPriority w:val="99"/>
    <w:rPr>
      <w:sz w:val="18"/>
    </w:rPr>
  </w:style>
  <w:style w:type="character" w:customStyle="1" w:styleId="45">
    <w:name w:val="批注文字 字符"/>
    <w:link w:val="13"/>
    <w:autoRedefine/>
    <w:semiHidden/>
    <w:qFormat/>
    <w:uiPriority w:val="99"/>
  </w:style>
  <w:style w:type="character" w:customStyle="1" w:styleId="46">
    <w:name w:val="批注主题 字符"/>
    <w:link w:val="28"/>
    <w:autoRedefine/>
    <w:semiHidden/>
    <w:qFormat/>
    <w:uiPriority w:val="99"/>
    <w:rPr>
      <w:b/>
    </w:rPr>
  </w:style>
  <w:style w:type="paragraph" w:customStyle="1" w:styleId="4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4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9">
    <w:name w:val="font11"/>
    <w:basedOn w:val="3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50">
    <w:name w:val="柴_标题1"/>
    <w:basedOn w:val="2"/>
    <w:next w:val="51"/>
    <w:link w:val="6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51">
    <w:name w:val="柴_正文"/>
    <w:basedOn w:val="14"/>
    <w:link w:val="6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52">
    <w:name w:val="柴_标题2"/>
    <w:basedOn w:val="3"/>
    <w:next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53">
    <w:name w:val="柴_标题3"/>
    <w:basedOn w:val="4"/>
    <w:next w:val="5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4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5">
    <w:name w:val="柴_公司名"/>
    <w:basedOn w:val="27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56">
    <w:name w:val="柴_文档名"/>
    <w:basedOn w:val="27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5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60">
    <w:name w:val="Compact"/>
    <w:basedOn w:val="14"/>
    <w:qFormat/>
    <w:uiPriority w:val="0"/>
    <w:pPr>
      <w:spacing w:before="36" w:after="36"/>
    </w:pPr>
  </w:style>
  <w:style w:type="table" w:customStyle="1" w:styleId="6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62">
    <w:name w:val="柴_标题1 Char"/>
    <w:link w:val="50"/>
    <w:qFormat/>
    <w:uiPriority w:val="0"/>
    <w:rPr>
      <w:rFonts w:ascii="Arial" w:hAnsi="Arial" w:eastAsia="宋体"/>
      <w:sz w:val="32"/>
    </w:rPr>
  </w:style>
  <w:style w:type="paragraph" w:customStyle="1" w:styleId="6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6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65">
    <w:name w:val="柴_正文 Char"/>
    <w:link w:val="51"/>
    <w:qFormat/>
    <w:uiPriority w:val="0"/>
    <w:rPr>
      <w:rFonts w:ascii="Arial" w:hAnsi="Arial" w:eastAsia="宋体"/>
      <w:sz w:val="24"/>
      <w:lang w:eastAsia="zh-CN"/>
    </w:rPr>
  </w:style>
  <w:style w:type="table" w:customStyle="1" w:styleId="6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A7F17-934E-4328-BB67-E69B7CC123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Sky123.Org</Company>
  <Pages>8</Pages>
  <Words>3037</Words>
  <Characters>3275</Characters>
  <Lines>22</Lines>
  <Paragraphs>6</Paragraphs>
  <TotalTime>1</TotalTime>
  <ScaleCrop>false</ScaleCrop>
  <LinksUpToDate>false</LinksUpToDate>
  <CharactersWithSpaces>3316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2016-09-19T06:01:00Z</dcterms:created>
  <dc:creator>Admin</dc:creator>
  <cp:lastModifiedBy>郝宇</cp:lastModifiedBy>
  <cp:lastPrinted>2016-09-19T07:45:00Z</cp:lastPrinted>
  <dcterms:modified xsi:type="dcterms:W3CDTF">2026-02-10T08:36:58Z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7EBB1AD3644C4B10A116C755A003600F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