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FBC6E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0" w:name="_Toc22611"/>
    </w:p>
    <w:p w14:paraId="24DE87D2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</w:p>
    <w:p w14:paraId="710E483F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1" w:name="_Toc18050"/>
      <w:r>
        <w:rPr>
          <w:rFonts w:hint="eastAsia"/>
          <w:lang w:val="en-US" w:eastAsia="zh-CN"/>
        </w:rPr>
        <w:t>过程框架设计</w:t>
      </w:r>
      <w:bookmarkEnd w:id="0"/>
      <w:r>
        <w:rPr>
          <w:rFonts w:hint="eastAsia"/>
          <w:lang w:val="en-US" w:eastAsia="zh-CN"/>
        </w:rPr>
        <w:t>图</w:t>
      </w:r>
      <w:bookmarkEnd w:id="1"/>
    </w:p>
    <w:p w14:paraId="48E2BFFE">
      <w:pPr>
        <w:pStyle w:val="27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" w:name="_Toc17781"/>
      <w:bookmarkStart w:id="3" w:name="_Toc13179"/>
      <w:r>
        <w:t>中达丰集团有限公司</w:t>
      </w:r>
      <w:bookmarkEnd w:id="2"/>
      <w:bookmarkEnd w:id="3"/>
    </w:p>
    <w:p w14:paraId="3A273BA1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275"/>
        <w:jc w:val="center"/>
        <w:rPr>
          <w:rFonts w:hint="default" w:ascii="宋体" w:hAnsi="宋体" w:eastAsia="宋体" w:cs="宋体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2"/>
          <w:sz w:val="36"/>
          <w:szCs w:val="36"/>
        </w:rPr>
        <w:t>202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2"/>
          <w:sz w:val="36"/>
          <w:szCs w:val="36"/>
        </w:rPr>
        <w:t>-0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4</w:t>
      </w:r>
      <w:r>
        <w:rPr>
          <w:rFonts w:ascii="宋体" w:hAnsi="宋体" w:eastAsia="宋体" w:cs="宋体"/>
          <w:spacing w:val="-2"/>
          <w:sz w:val="36"/>
          <w:szCs w:val="36"/>
        </w:rPr>
        <w:t>-</w:t>
      </w:r>
      <w:r>
        <w:rPr>
          <w:rFonts w:hint="eastAsia" w:ascii="宋体" w:hAnsi="宋体" w:cs="宋体"/>
          <w:spacing w:val="-2"/>
          <w:sz w:val="36"/>
          <w:szCs w:val="36"/>
          <w:lang w:val="en-US" w:eastAsia="zh-CN"/>
        </w:rPr>
        <w:t>20</w:t>
      </w:r>
    </w:p>
    <w:p w14:paraId="2B024928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宋体" w:hAnsi="宋体" w:eastAsia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</w:p>
    <w:p w14:paraId="2CB7B259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258" w:lineRule="auto"/>
      </w:pPr>
    </w:p>
    <w:p w14:paraId="34052D5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bookmarkStart w:id="4" w:name="_Toc16271"/>
      <w:bookmarkStart w:id="5" w:name="_Toc7748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4"/>
      <w:bookmarkEnd w:id="5"/>
    </w:p>
    <w:p w14:paraId="24C8EC57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line="16" w:lineRule="exact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10020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11" w:hRule="atLeast"/>
        </w:trPr>
        <w:tc>
          <w:tcPr>
            <w:tcW w:w="1704" w:type="dxa"/>
          </w:tcPr>
          <w:p w14:paraId="6479710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ECFAD65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00" w:line="218" w:lineRule="auto"/>
              <w:ind w:left="108"/>
            </w:pPr>
            <w:r>
              <w:rPr>
                <w:rFonts w:hint="eastAsia" w:eastAsia="宋体"/>
                <w:spacing w:val="-1"/>
                <w:lang w:val="en-US" w:eastAsia="zh-CN"/>
              </w:rPr>
              <w:t>过程框架设计</w:t>
            </w:r>
            <w:r>
              <w:rPr>
                <w:rFonts w:hint="eastAsia"/>
                <w:spacing w:val="-1"/>
                <w:lang w:val="en-US" w:eastAsia="zh-CN"/>
              </w:rPr>
              <w:t>图</w:t>
            </w:r>
            <w:r>
              <w:rPr>
                <w:spacing w:val="-1"/>
              </w:rPr>
              <w:t>（ZDFJT-ITSS-</w:t>
            </w:r>
            <w:r>
              <w:rPr>
                <w:rFonts w:hint="eastAsia" w:eastAsia="宋体"/>
                <w:spacing w:val="-1"/>
                <w:lang w:val="en-US" w:eastAsia="zh-CN"/>
              </w:rPr>
              <w:t>GCKJSJ</w:t>
            </w:r>
            <w:r>
              <w:rPr>
                <w:rFonts w:hint="eastAsia"/>
                <w:spacing w:val="-1"/>
                <w:lang w:val="en-US" w:eastAsia="zh-CN"/>
              </w:rPr>
              <w:t>T</w:t>
            </w:r>
            <w:r>
              <w:rPr>
                <w:spacing w:val="-1"/>
              </w:rPr>
              <w:t>）</w:t>
            </w:r>
          </w:p>
        </w:tc>
      </w:tr>
      <w:tr w14:paraId="440EAC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2B8A932D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6C6E8964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 w14:paraId="751E09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4EC2B850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088E754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5E65874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03B0FC20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547BCAC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718D9A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FDF8E58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60B46409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4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20</w:t>
            </w:r>
          </w:p>
        </w:tc>
        <w:tc>
          <w:tcPr>
            <w:tcW w:w="2302" w:type="dxa"/>
          </w:tcPr>
          <w:p w14:paraId="715DCFB2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52481118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48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肖龙莽</w:t>
            </w:r>
          </w:p>
        </w:tc>
        <w:tc>
          <w:tcPr>
            <w:tcW w:w="1953" w:type="dxa"/>
          </w:tcPr>
          <w:p w14:paraId="1DE5BD9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3" w:line="220" w:lineRule="auto"/>
              <w:ind w:left="672"/>
            </w:pPr>
            <w:r>
              <w:rPr>
                <w:spacing w:val="-3"/>
              </w:rPr>
              <w:t>吴向阳</w:t>
            </w:r>
          </w:p>
        </w:tc>
      </w:tr>
      <w:tr w14:paraId="01B04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011645A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 w:line="239" w:lineRule="auto"/>
              <w:ind w:left="638"/>
            </w:pPr>
          </w:p>
        </w:tc>
        <w:tc>
          <w:tcPr>
            <w:tcW w:w="1555" w:type="dxa"/>
          </w:tcPr>
          <w:p w14:paraId="4BA63D8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4"/>
              <w:ind w:left="361"/>
            </w:pPr>
          </w:p>
        </w:tc>
        <w:tc>
          <w:tcPr>
            <w:tcW w:w="2302" w:type="dxa"/>
          </w:tcPr>
          <w:p w14:paraId="0241F87E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279986C4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56A2BC7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4" w:line="220" w:lineRule="auto"/>
              <w:ind w:left="672"/>
            </w:pPr>
          </w:p>
        </w:tc>
      </w:tr>
      <w:tr w14:paraId="7EBC0D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1B7F9086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 w:line="239" w:lineRule="auto"/>
              <w:ind w:left="638"/>
            </w:pPr>
          </w:p>
        </w:tc>
        <w:tc>
          <w:tcPr>
            <w:tcW w:w="1555" w:type="dxa"/>
          </w:tcPr>
          <w:p w14:paraId="58C71DA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5"/>
              <w:ind w:left="361"/>
            </w:pPr>
          </w:p>
        </w:tc>
        <w:tc>
          <w:tcPr>
            <w:tcW w:w="2302" w:type="dxa"/>
          </w:tcPr>
          <w:p w14:paraId="032370E9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5DD7C46C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02C34A37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5" w:line="220" w:lineRule="auto"/>
              <w:ind w:left="672"/>
            </w:pPr>
          </w:p>
        </w:tc>
      </w:tr>
      <w:tr w14:paraId="03DA9F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6E2076E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 w:line="239" w:lineRule="auto"/>
              <w:ind w:left="638"/>
            </w:pPr>
          </w:p>
        </w:tc>
        <w:tc>
          <w:tcPr>
            <w:tcW w:w="1555" w:type="dxa"/>
          </w:tcPr>
          <w:p w14:paraId="7A24567B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66"/>
              <w:ind w:left="361"/>
            </w:pPr>
          </w:p>
        </w:tc>
        <w:tc>
          <w:tcPr>
            <w:tcW w:w="2302" w:type="dxa"/>
          </w:tcPr>
          <w:p w14:paraId="5D4AF2FC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0BE1ADC9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2782F765">
            <w:pPr>
              <w:pStyle w:val="25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36" w:line="220" w:lineRule="auto"/>
              <w:ind w:left="672"/>
            </w:pPr>
          </w:p>
        </w:tc>
      </w:tr>
      <w:tr w14:paraId="09C713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280CFC5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CF443A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B8EE01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6AED72C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DC8105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ascii="Arial"/>
                <w:sz w:val="21"/>
              </w:rPr>
            </w:pPr>
          </w:p>
        </w:tc>
      </w:tr>
    </w:tbl>
    <w:p w14:paraId="5B79DCEB">
      <w:pPr>
        <w:pStyle w:val="12"/>
        <w:keepNext w:val="0"/>
        <w:keepLines w:val="0"/>
        <w:pageBreakBefore w:val="0"/>
        <w:widowControl w:val="0"/>
        <w:wordWrap/>
        <w:overflowPunct/>
        <w:topLinePunct w:val="0"/>
        <w:bidi w:val="0"/>
      </w:pPr>
    </w:p>
    <w:p w14:paraId="03B2B6B0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51074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0B78BB5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887B562">
          <w:pPr>
            <w:pStyle w:val="16"/>
            <w:tabs>
              <w:tab w:val="right" w:leader="dot" w:pos="8306"/>
            </w:tabs>
          </w:pPr>
          <w:bookmarkStart w:id="17" w:name="_GoBack"/>
          <w:bookmarkEnd w:id="17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_Toc18050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过程框架设计图</w:t>
          </w:r>
          <w:r>
            <w:tab/>
          </w:r>
          <w:r>
            <w:fldChar w:fldCharType="begin"/>
          </w:r>
          <w:r>
            <w:instrText xml:space="preserve"> PAGEREF _Toc18050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69F10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_Toc13179 </w:instrText>
          </w:r>
          <w:r>
            <w:fldChar w:fldCharType="separate"/>
          </w:r>
          <w:r>
            <w:t>中达丰集团有限公司</w:t>
          </w:r>
          <w:r>
            <w:tab/>
          </w:r>
          <w:r>
            <w:fldChar w:fldCharType="begin"/>
          </w:r>
          <w:r>
            <w:instrText xml:space="preserve"> PAGEREF _Toc13179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57F722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_Toc7748 </w:instrText>
          </w:r>
          <w: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_Toc7748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881C47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_Toc14394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过程框架设计图</w:t>
          </w:r>
          <w:r>
            <w:tab/>
          </w:r>
          <w:r>
            <w:fldChar w:fldCharType="begin"/>
          </w:r>
          <w:r>
            <w:instrText xml:space="preserve"> PAGEREF _Toc14394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3E9F3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_Toc19736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框架设计说明</w:t>
          </w:r>
          <w:r>
            <w:tab/>
          </w:r>
          <w:r>
            <w:fldChar w:fldCharType="begin"/>
          </w:r>
          <w:r>
            <w:instrText xml:space="preserve"> PAGEREF _Toc19736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2CC6FE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整体架构</w:t>
          </w:r>
          <w:r>
            <w:tab/>
          </w:r>
          <w:r>
            <w:fldChar w:fldCharType="begin"/>
          </w:r>
          <w:r>
            <w:instrText xml:space="preserve"> PAGEREF _Toc20787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DF9390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_Toc31727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核心逻辑</w:t>
          </w:r>
          <w:r>
            <w:tab/>
          </w:r>
          <w:r>
            <w:fldChar w:fldCharType="begin"/>
          </w:r>
          <w:r>
            <w:instrText xml:space="preserve"> PAGEREF _Toc31727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EF31DB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关键协作关系</w:t>
          </w:r>
          <w:r>
            <w:tab/>
          </w:r>
          <w:r>
            <w:fldChar w:fldCharType="begin"/>
          </w:r>
          <w:r>
            <w:instrText xml:space="preserve"> PAGEREF _Toc6402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B2156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_Toc25254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绩效指标关联</w:t>
          </w:r>
          <w:r>
            <w:tab/>
          </w:r>
          <w:r>
            <w:fldChar w:fldCharType="begin"/>
          </w:r>
          <w:r>
            <w:instrText xml:space="preserve"> PAGEREF _Toc25254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50F91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实施建议</w:t>
          </w:r>
          <w:r>
            <w:tab/>
          </w:r>
          <w:r>
            <w:fldChar w:fldCharType="begin"/>
          </w:r>
          <w:r>
            <w:instrText xml:space="preserve"> PAGEREF _Toc30994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997098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分阶段落地</w:t>
          </w:r>
          <w:r>
            <w:tab/>
          </w:r>
          <w:r>
            <w:fldChar w:fldCharType="begin"/>
          </w:r>
          <w:r>
            <w:instrText xml:space="preserve"> PAGEREF _Toc6641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4AB6AE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_Toc4190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工具支撑</w:t>
          </w:r>
          <w:r>
            <w:tab/>
          </w:r>
          <w:r>
            <w:fldChar w:fldCharType="begin"/>
          </w:r>
          <w:r>
            <w:instrText xml:space="preserve"> PAGEREF _Toc4190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6CE39E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3.3. 组织适配</w:t>
          </w:r>
          <w:r>
            <w:tab/>
          </w:r>
          <w:r>
            <w:fldChar w:fldCharType="begin"/>
          </w:r>
          <w:r>
            <w:instrText xml:space="preserve"> PAGEREF _Toc20910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4CFFEF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_Toc20710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3.4. 持续改进</w:t>
          </w:r>
          <w:r>
            <w:tab/>
          </w:r>
          <w:r>
            <w:fldChar w:fldCharType="begin"/>
          </w:r>
          <w:r>
            <w:instrText xml:space="preserve"> PAGEREF _Toc20710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D2517A7">
          <w:r>
            <w:fldChar w:fldCharType="end"/>
          </w:r>
        </w:p>
      </w:sdtContent>
    </w:sdt>
    <w:p w14:paraId="15D15E1A"/>
    <w:p w14:paraId="6E9DF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436D2E3">
      <w:pPr>
        <w:pStyle w:val="28"/>
        <w:bidi w:val="0"/>
        <w:rPr>
          <w:rFonts w:hint="eastAsia"/>
          <w:lang w:val="en-US" w:eastAsia="zh-CN"/>
        </w:rPr>
      </w:pPr>
      <w:bookmarkStart w:id="6" w:name="_Toc14394"/>
      <w:r>
        <w:rPr>
          <w:rFonts w:hint="eastAsia"/>
          <w:lang w:val="en-US" w:eastAsia="zh-CN"/>
        </w:rPr>
        <w:t>过程框架设计图</w:t>
      </w:r>
      <w:bookmarkEnd w:id="6"/>
    </w:p>
    <w:p w14:paraId="6CE833BE">
      <w:pPr>
        <w:pStyle w:val="29"/>
        <w:rPr>
          <w:rFonts w:hint="eastAsia"/>
          <w:lang w:val="en-US" w:eastAsia="zh-CN"/>
        </w:rPr>
      </w:pPr>
      <w:r>
        <w:drawing>
          <wp:inline distT="0" distB="0" distL="114300" distR="114300">
            <wp:extent cx="3771265" cy="3414395"/>
            <wp:effectExtent l="0" t="0" r="825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A867F">
      <w:pPr>
        <w:pStyle w:val="28"/>
        <w:bidi w:val="0"/>
        <w:rPr>
          <w:rFonts w:hint="eastAsia"/>
          <w:lang w:val="en-US" w:eastAsia="zh-CN"/>
        </w:rPr>
      </w:pPr>
      <w:bookmarkStart w:id="7" w:name="_Toc19736"/>
      <w:r>
        <w:rPr>
          <w:rFonts w:hint="eastAsia"/>
          <w:lang w:val="en-US" w:eastAsia="zh-CN"/>
        </w:rPr>
        <w:t>框架设计说明</w:t>
      </w:r>
      <w:bookmarkEnd w:id="7"/>
    </w:p>
    <w:p w14:paraId="02E8AE8C">
      <w:pPr>
        <w:pStyle w:val="30"/>
        <w:bidi w:val="0"/>
        <w:rPr>
          <w:rFonts w:hint="default"/>
          <w:lang w:val="en-US" w:eastAsia="zh-CN"/>
        </w:rPr>
      </w:pPr>
      <w:bookmarkStart w:id="8" w:name="_Toc20787"/>
      <w:r>
        <w:rPr>
          <w:rFonts w:hint="eastAsia"/>
          <w:lang w:val="en-US" w:eastAsia="zh-CN"/>
        </w:rPr>
        <w:t>整体架构</w:t>
      </w:r>
      <w:bookmarkEnd w:id="8"/>
    </w:p>
    <w:p w14:paraId="5030C37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框架遵循三层架构、双向协同原则：</w:t>
      </w:r>
    </w:p>
    <w:p w14:paraId="60B46AB9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指导层：服务级别管理（SLA）作为顶层目标导向</w:t>
      </w:r>
    </w:p>
    <w:p w14:paraId="69897F36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执行层：四大核心运维过程形成闭环工作流</w:t>
      </w:r>
    </w:p>
    <w:p w14:paraId="1DAE7A82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支撑层：三大保障过程确保系统稳定、安全、高效</w:t>
      </w:r>
    </w:p>
    <w:p w14:paraId="41ABD71B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数据层：配置管理（CMDB）作为统一数据底座</w:t>
      </w:r>
    </w:p>
    <w:p w14:paraId="1A48470A">
      <w:pPr>
        <w:pStyle w:val="29"/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报告层：服务报告管理作为结果汇总与反馈通道</w:t>
      </w:r>
    </w:p>
    <w:p w14:paraId="593DEA50">
      <w:pPr>
        <w:pStyle w:val="30"/>
        <w:bidi w:val="0"/>
        <w:rPr>
          <w:rFonts w:hint="eastAsia"/>
          <w:lang w:val="en-US" w:eastAsia="zh-CN"/>
        </w:rPr>
      </w:pPr>
      <w:bookmarkStart w:id="9" w:name="_Toc31727"/>
      <w:r>
        <w:rPr>
          <w:rFonts w:hint="eastAsia"/>
          <w:lang w:val="en-US" w:eastAsia="zh-CN"/>
        </w:rPr>
        <w:t>核心逻辑</w:t>
      </w:r>
      <w:bookmarkEnd w:id="9"/>
    </w:p>
    <w:p w14:paraId="13B4D88F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事件→问题→变更→发布 形成运维主流程闭环</w:t>
      </w:r>
    </w:p>
    <w:p w14:paraId="6B81AA31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配置管理（CMDB） 为所有过程提供一致的配置数据</w:t>
      </w:r>
    </w:p>
    <w:p w14:paraId="44E2744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保障过程 为执行层提供容量、可用性、安全支持</w:t>
      </w:r>
    </w:p>
    <w:p w14:paraId="6B5FB66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服务报告汇总各过程数据，反馈至SLA管理，形成PDCA循环</w:t>
      </w:r>
    </w:p>
    <w:p w14:paraId="1B3CF056">
      <w:pPr>
        <w:pStyle w:val="30"/>
        <w:bidi w:val="0"/>
        <w:rPr>
          <w:rFonts w:hint="eastAsia"/>
          <w:lang w:val="en-US" w:eastAsia="zh-CN"/>
        </w:rPr>
      </w:pPr>
      <w:bookmarkStart w:id="10" w:name="_Toc6402"/>
      <w:r>
        <w:rPr>
          <w:rFonts w:hint="eastAsia"/>
          <w:lang w:val="en-US" w:eastAsia="zh-CN"/>
        </w:rPr>
        <w:t>关键协作关系</w:t>
      </w:r>
      <w:bookmarkEnd w:id="10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0"/>
        <w:gridCol w:w="6764"/>
      </w:tblGrid>
      <w:tr w14:paraId="491EA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4D77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协作关系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F90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说明</w:t>
            </w:r>
          </w:p>
        </w:tc>
      </w:tr>
      <w:tr w14:paraId="18208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A5D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SLA→各过程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343F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服务级别协议是所有过程的共同目标和约束条件</w:t>
            </w:r>
          </w:p>
        </w:tc>
      </w:tr>
      <w:tr w14:paraId="77A5C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BDAC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配置管理→各过程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13E6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CMDB为事件定位、问题分析、变更评估、发布执行提供数据支持</w:t>
            </w:r>
          </w:p>
        </w:tc>
      </w:tr>
      <w:tr w14:paraId="4968C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673E3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事件→问题→变更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49B79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重大/重复事件转为问题，问题分析后提出变更请求</w:t>
            </w:r>
          </w:p>
        </w:tc>
      </w:tr>
      <w:tr w14:paraId="6A8BE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13A9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变更→发布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7BB6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所有变更需经授权后由发布管理统一执行</w:t>
            </w:r>
          </w:p>
        </w:tc>
      </w:tr>
      <w:tr w14:paraId="3ACE8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B5AF0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保障过程→执行过程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8E6A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可用性、容量、安全需求触发相应变更和优化</w:t>
            </w:r>
          </w:p>
        </w:tc>
      </w:tr>
    </w:tbl>
    <w:p w14:paraId="5F7E3930">
      <w:pPr>
        <w:pStyle w:val="30"/>
        <w:bidi w:val="0"/>
        <w:rPr>
          <w:rFonts w:hint="eastAsia"/>
          <w:lang w:val="en-US" w:eastAsia="zh-CN"/>
        </w:rPr>
      </w:pPr>
      <w:bookmarkStart w:id="11" w:name="_Toc25254"/>
      <w:r>
        <w:rPr>
          <w:rFonts w:hint="eastAsia"/>
          <w:lang w:val="en-US" w:eastAsia="zh-CN"/>
        </w:rPr>
        <w:t>绩效指标关联</w:t>
      </w:r>
      <w:bookmarkEnd w:id="11"/>
    </w:p>
    <w:p w14:paraId="4CB9C283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根据《需求分析报告》，各过程的关键绩效指标（KPI）均围绕SLA达成展开：</w:t>
      </w:r>
    </w:p>
    <w:p w14:paraId="58611CD3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服务级别管理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SLA达成率≥90%/季度</w:t>
      </w:r>
    </w:p>
    <w:p w14:paraId="2582987B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服务报告管理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服务报告交付及时率≥90%/月度</w:t>
      </w:r>
    </w:p>
    <w:p w14:paraId="4FA149D2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事件管理：</w:t>
      </w:r>
      <w:r>
        <w:rPr>
          <w:rFonts w:hint="eastAsia"/>
          <w:sz w:val="21"/>
          <w:lang w:val="en-US" w:eastAsia="zh-CN"/>
        </w:rPr>
        <w:t>事件</w:t>
      </w:r>
      <w:r>
        <w:rPr>
          <w:rFonts w:hint="default"/>
          <w:sz w:val="21"/>
          <w:lang w:val="en-US" w:eastAsia="zh-CN"/>
        </w:rPr>
        <w:t>解决率≥95%</w:t>
      </w:r>
      <w:r>
        <w:rPr>
          <w:rFonts w:hint="eastAsia"/>
          <w:sz w:val="21"/>
          <w:lang w:val="en-US" w:eastAsia="zh-CN"/>
        </w:rPr>
        <w:t>/月度</w:t>
      </w:r>
      <w:r>
        <w:rPr>
          <w:rFonts w:hint="default"/>
          <w:sz w:val="21"/>
          <w:lang w:val="en-US" w:eastAsia="zh-CN"/>
        </w:rPr>
        <w:t>，</w:t>
      </w:r>
      <w:r>
        <w:rPr>
          <w:rFonts w:hint="eastAsia"/>
          <w:sz w:val="21"/>
          <w:lang w:val="en-US" w:eastAsia="zh-CN"/>
        </w:rPr>
        <w:t>事件</w:t>
      </w:r>
      <w:r>
        <w:rPr>
          <w:rFonts w:hint="default"/>
          <w:sz w:val="21"/>
          <w:lang w:val="en-US" w:eastAsia="zh-CN"/>
        </w:rPr>
        <w:t>按时解决率≥95%</w:t>
      </w:r>
      <w:r>
        <w:rPr>
          <w:rFonts w:hint="eastAsia"/>
          <w:sz w:val="21"/>
          <w:lang w:val="en-US" w:eastAsia="zh-CN"/>
        </w:rPr>
        <w:t>/月度，事件回访的及时率</w:t>
      </w:r>
      <w:r>
        <w:rPr>
          <w:rFonts w:hint="default"/>
          <w:sz w:val="21"/>
          <w:lang w:val="en-US" w:eastAsia="zh-CN"/>
        </w:rPr>
        <w:t>≥95%</w:t>
      </w:r>
      <w:r>
        <w:rPr>
          <w:rFonts w:hint="eastAsia"/>
          <w:sz w:val="21"/>
          <w:lang w:val="en-US" w:eastAsia="zh-CN"/>
        </w:rPr>
        <w:t>/季度</w:t>
      </w:r>
    </w:p>
    <w:p w14:paraId="33C0C638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问题管理：</w:t>
      </w:r>
      <w:r>
        <w:rPr>
          <w:rFonts w:hint="eastAsia"/>
          <w:sz w:val="21"/>
          <w:lang w:val="en-US" w:eastAsia="zh-CN"/>
        </w:rPr>
        <w:t>问题</w:t>
      </w:r>
      <w:r>
        <w:rPr>
          <w:rFonts w:hint="default"/>
          <w:sz w:val="21"/>
          <w:lang w:val="en-US" w:eastAsia="zh-CN"/>
        </w:rPr>
        <w:t>解决率≥85%</w:t>
      </w:r>
      <w:r>
        <w:rPr>
          <w:rFonts w:hint="eastAsia"/>
          <w:sz w:val="21"/>
          <w:lang w:val="en-US" w:eastAsia="zh-CN"/>
        </w:rPr>
        <w:t>/季度</w:t>
      </w:r>
    </w:p>
    <w:p w14:paraId="389826B8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变更管理：成功率≥98%</w:t>
      </w:r>
      <w:r>
        <w:rPr>
          <w:rFonts w:hint="eastAsia"/>
          <w:sz w:val="21"/>
          <w:lang w:val="en-US" w:eastAsia="zh-CN"/>
        </w:rPr>
        <w:t>/季度</w:t>
      </w:r>
    </w:p>
    <w:p w14:paraId="7F865B9D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发布管理：成功率≥98%</w:t>
      </w:r>
      <w:r>
        <w:rPr>
          <w:rFonts w:hint="eastAsia"/>
          <w:sz w:val="21"/>
          <w:lang w:val="en-US" w:eastAsia="zh-CN"/>
        </w:rPr>
        <w:t>/季度</w:t>
      </w:r>
    </w:p>
    <w:p w14:paraId="6BBACACC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配置管理</w:t>
      </w:r>
      <w:r>
        <w:rPr>
          <w:rFonts w:hint="default"/>
          <w:sz w:val="21"/>
          <w:lang w:val="en-US" w:eastAsia="zh-CN"/>
        </w:rPr>
        <w:t>：</w:t>
      </w:r>
      <w:r>
        <w:rPr>
          <w:rFonts w:hint="eastAsia"/>
          <w:sz w:val="21"/>
          <w:lang w:val="en-US" w:eastAsia="zh-CN"/>
        </w:rPr>
        <w:t>准确率</w:t>
      </w:r>
      <w:r>
        <w:rPr>
          <w:rFonts w:hint="default"/>
          <w:sz w:val="21"/>
          <w:lang w:val="en-US" w:eastAsia="zh-CN"/>
        </w:rPr>
        <w:t>≥95%</w:t>
      </w:r>
      <w:r>
        <w:rPr>
          <w:rFonts w:hint="eastAsia"/>
          <w:sz w:val="21"/>
          <w:lang w:val="en-US" w:eastAsia="zh-CN"/>
        </w:rPr>
        <w:t>/季度</w:t>
      </w:r>
    </w:p>
    <w:p w14:paraId="7A38A136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可用性管理：可用性≥99%</w:t>
      </w:r>
      <w:r>
        <w:rPr>
          <w:rFonts w:hint="eastAsia"/>
          <w:sz w:val="21"/>
          <w:lang w:val="en-US" w:eastAsia="zh-CN"/>
        </w:rPr>
        <w:t>/季度</w:t>
      </w:r>
      <w:r>
        <w:rPr>
          <w:rFonts w:hint="default"/>
          <w:sz w:val="21"/>
          <w:lang w:val="en-US" w:eastAsia="zh-CN"/>
        </w:rPr>
        <w:t>，中断≤2次/季度</w:t>
      </w:r>
    </w:p>
    <w:p w14:paraId="48E2E658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容量管理：容量事件≤2次/季度</w:t>
      </w:r>
    </w:p>
    <w:p w14:paraId="6498A481">
      <w:pPr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信息</w:t>
      </w:r>
      <w:r>
        <w:rPr>
          <w:rFonts w:hint="default"/>
          <w:sz w:val="21"/>
          <w:lang w:val="en-US" w:eastAsia="zh-CN"/>
        </w:rPr>
        <w:t>安全管理：安全事件≤1次/年</w:t>
      </w:r>
    </w:p>
    <w:p w14:paraId="7B54203B">
      <w:pPr>
        <w:pStyle w:val="28"/>
        <w:bidi w:val="0"/>
        <w:rPr>
          <w:rFonts w:hint="default"/>
          <w:lang w:val="en-US" w:eastAsia="zh-CN"/>
        </w:rPr>
      </w:pPr>
      <w:bookmarkStart w:id="12" w:name="_Toc30994"/>
      <w:r>
        <w:rPr>
          <w:rFonts w:hint="default"/>
          <w:lang w:val="en-US" w:eastAsia="zh-CN"/>
        </w:rPr>
        <w:t>实施建议</w:t>
      </w:r>
      <w:bookmarkEnd w:id="12"/>
    </w:p>
    <w:p w14:paraId="3F19FAD1">
      <w:pPr>
        <w:pStyle w:val="30"/>
        <w:bidi w:val="0"/>
        <w:rPr>
          <w:rFonts w:hint="default"/>
          <w:lang w:val="en-US" w:eastAsia="zh-CN"/>
        </w:rPr>
      </w:pPr>
      <w:bookmarkStart w:id="13" w:name="_Toc6641"/>
      <w:r>
        <w:rPr>
          <w:rFonts w:hint="default"/>
          <w:lang w:val="en-US" w:eastAsia="zh-CN"/>
        </w:rPr>
        <w:t>分阶段落地</w:t>
      </w:r>
      <w:bookmarkEnd w:id="13"/>
    </w:p>
    <w:p w14:paraId="4A126487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第一阶段：建立事件、变更、配置管理基础</w:t>
      </w:r>
    </w:p>
    <w:p w14:paraId="028467F8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第二阶段：完善问题、发布、报告管理流程</w:t>
      </w:r>
    </w:p>
    <w:p w14:paraId="016AEFFC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第三阶段：整合可用性、容量、安全管理</w:t>
      </w:r>
    </w:p>
    <w:p w14:paraId="17B89817">
      <w:pPr>
        <w:pStyle w:val="30"/>
        <w:bidi w:val="0"/>
        <w:rPr>
          <w:rFonts w:hint="default"/>
          <w:lang w:val="en-US" w:eastAsia="zh-CN"/>
        </w:rPr>
      </w:pPr>
      <w:bookmarkStart w:id="14" w:name="_Toc4190"/>
      <w:r>
        <w:rPr>
          <w:rFonts w:hint="default"/>
          <w:lang w:val="en-US" w:eastAsia="zh-CN"/>
        </w:rPr>
        <w:t>工具支撑</w:t>
      </w:r>
      <w:bookmarkEnd w:id="14"/>
    </w:p>
    <w:p w14:paraId="5920E6E7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建议采用</w:t>
      </w:r>
      <w:r>
        <w:rPr>
          <w:rFonts w:hint="eastAsia"/>
          <w:sz w:val="21"/>
          <w:lang w:val="en-US" w:eastAsia="zh-CN"/>
        </w:rPr>
        <w:t>过程管理工具</w:t>
      </w:r>
      <w:r>
        <w:rPr>
          <w:rFonts w:hint="default"/>
          <w:sz w:val="21"/>
          <w:lang w:val="en-US" w:eastAsia="zh-CN"/>
        </w:rPr>
        <w:t>，实现各过程数据自动流转</w:t>
      </w:r>
    </w:p>
    <w:p w14:paraId="6DB8F224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配置管理建议建立CMDB，确保数据准确率≥95%</w:t>
      </w:r>
    </w:p>
    <w:p w14:paraId="01077616">
      <w:pPr>
        <w:pStyle w:val="30"/>
        <w:bidi w:val="0"/>
        <w:rPr>
          <w:rFonts w:hint="default"/>
          <w:lang w:val="en-US" w:eastAsia="zh-CN"/>
        </w:rPr>
      </w:pPr>
      <w:bookmarkStart w:id="15" w:name="_Toc20910"/>
      <w:r>
        <w:rPr>
          <w:rFonts w:hint="default"/>
          <w:lang w:val="en-US" w:eastAsia="zh-CN"/>
        </w:rPr>
        <w:t>组织适配</w:t>
      </w:r>
      <w:bookmarkEnd w:id="15"/>
    </w:p>
    <w:p w14:paraId="1E799969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明确各过程角色与职责（参考需求分析报告）</w:t>
      </w:r>
    </w:p>
    <w:p w14:paraId="6EB0BC77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建立跨部门协作机制，特别是质量部与运维部的协作</w:t>
      </w:r>
    </w:p>
    <w:p w14:paraId="4AE1E689">
      <w:pPr>
        <w:pStyle w:val="30"/>
        <w:bidi w:val="0"/>
        <w:rPr>
          <w:rFonts w:hint="default"/>
          <w:lang w:val="en-US" w:eastAsia="zh-CN"/>
        </w:rPr>
      </w:pPr>
      <w:bookmarkStart w:id="16" w:name="_Toc20710"/>
      <w:r>
        <w:rPr>
          <w:rFonts w:hint="default"/>
          <w:lang w:val="en-US" w:eastAsia="zh-CN"/>
        </w:rPr>
        <w:t>持续改进</w:t>
      </w:r>
      <w:bookmarkEnd w:id="16"/>
    </w:p>
    <w:p w14:paraId="2B057519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每</w:t>
      </w:r>
      <w:r>
        <w:rPr>
          <w:rFonts w:hint="eastAsia"/>
          <w:sz w:val="21"/>
          <w:lang w:val="en-US" w:eastAsia="zh-CN"/>
        </w:rPr>
        <w:t>半年</w:t>
      </w:r>
      <w:r>
        <w:rPr>
          <w:rFonts w:hint="default"/>
          <w:sz w:val="21"/>
          <w:lang w:val="en-US" w:eastAsia="zh-CN"/>
        </w:rPr>
        <w:t>评审框架运行效果</w:t>
      </w:r>
    </w:p>
    <w:p w14:paraId="35127DC3">
      <w:pPr>
        <w:rPr>
          <w:rFonts w:hint="default"/>
          <w:sz w:val="21"/>
          <w:lang w:val="en-US" w:eastAsia="zh-CN"/>
        </w:rPr>
      </w:pPr>
      <w:r>
        <w:rPr>
          <w:rFonts w:hint="default"/>
          <w:sz w:val="21"/>
          <w:lang w:val="en-US" w:eastAsia="zh-CN"/>
        </w:rPr>
        <w:t>基于服务报告数据优化SLA和过程指标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0" w:footer="99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80F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15220A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58559ECA"/>
    <w:multiLevelType w:val="singleLevel"/>
    <w:tmpl w:val="58559E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FE443F8"/>
    <w:rsid w:val="12E44CE8"/>
    <w:rsid w:val="2B1E0CAF"/>
    <w:rsid w:val="30F73B34"/>
    <w:rsid w:val="3DC92CFC"/>
    <w:rsid w:val="4225102D"/>
    <w:rsid w:val="4C2725D5"/>
    <w:rsid w:val="543D5452"/>
    <w:rsid w:val="69850E4D"/>
    <w:rsid w:val="75846F2D"/>
    <w:rsid w:val="7CAC1243"/>
    <w:rsid w:val="7EBB49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951</Words>
  <Characters>1089</Characters>
  <Lines>0</Lines>
  <Paragraphs>0</Paragraphs>
  <TotalTime>0</TotalTime>
  <ScaleCrop>false</ScaleCrop>
  <LinksUpToDate>false</LinksUpToDate>
  <CharactersWithSpaces>1145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2025-08-21T06:31:00Z</dcterms:created>
  <dc:creator>18442</dc:creator>
  <cp:lastModifiedBy>郝宇</cp:lastModifiedBy>
  <dcterms:modified xsi:type="dcterms:W3CDTF">2026-02-10T06:43:52Z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2025-08-21T14:29:57Z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6EEDEB6CDA2C404BA91D0B02197B4709_12</vt:lpwstr>
  </property>
  <property fmtid="{D5CDD505-2E9C-101B-9397-08002B2CF9AE}" pid="5" name="KSOProductBuildVer">
    <vt:lpwstr>2052-12.1.0.25225</vt:lpwstr>
  </property>
  <property fmtid="{D5CDD505-2E9C-101B-9397-08002B2CF9AE}" pid="6" name="KSOTemplateDocerSaveRecord">
    <vt:lpwstr>eyJoZGlkIjoiZWI4NmUzMGY2ODA3MDc4ZTFlMjZjZTAyMjM0NmVmODgiLCJ1c2VySWQiOiIxMDc1MzgyOSJ9</vt:lpwstr>
  </property>
</Properties>
</file>