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p w14:paraId="24DE87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17794"/>
      <w:r>
        <w:rPr>
          <w:rFonts w:hint="eastAsia"/>
          <w:lang w:val="en-US" w:eastAsia="zh-CN"/>
        </w:rPr>
        <w:t>盐都区新能源汽车充电桩建设项目</w:t>
      </w:r>
      <w:bookmarkEnd w:id="1"/>
    </w:p>
    <w:p w14:paraId="710E483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5110"/>
      <w:r>
        <w:rPr>
          <w:rFonts w:hint="eastAsia"/>
          <w:lang w:val="en-US" w:eastAsia="zh-CN"/>
        </w:rPr>
        <w:t>容量管理计划</w:t>
      </w:r>
      <w:bookmarkEnd w:id="2"/>
    </w:p>
    <w:p w14:paraId="48E2BF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7781"/>
      <w:bookmarkStart w:id="4" w:name="_Toc26286"/>
      <w:r>
        <w:t>中达丰集团有限公司</w:t>
      </w:r>
      <w:bookmarkEnd w:id="3"/>
      <w:bookmarkEnd w:id="4"/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5" w:name="_Toc16271"/>
      <w:bookmarkStart w:id="6" w:name="_Toc23163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5"/>
      <w:bookmarkEnd w:id="6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容量管理计划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RLGLJH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5CFC69D">
          <w:pPr>
            <w:pStyle w:val="16"/>
            <w:tabs>
              <w:tab w:val="right" w:leader="dot" w:pos="8306"/>
            </w:tabs>
          </w:pPr>
          <w:bookmarkStart w:id="20" w:name="_GoBack"/>
          <w:bookmarkEnd w:id="20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_Toc17794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盐都区新能源汽车充电桩建设项目</w:t>
          </w:r>
          <w:r>
            <w:tab/>
          </w:r>
          <w:r>
            <w:fldChar w:fldCharType="begin"/>
          </w:r>
          <w:r>
            <w:instrText xml:space="preserve"> PAGEREF _Toc17794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681FA9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_Toc5110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容量管理计划</w:t>
          </w:r>
          <w:r>
            <w:tab/>
          </w:r>
          <w:r>
            <w:fldChar w:fldCharType="begin"/>
          </w:r>
          <w:r>
            <w:instrText xml:space="preserve"> PAGEREF _Toc5110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ED64D6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_Toc26286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_Toc26286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0A64D1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_Toc23163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_Toc23163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153EB5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计划概述</w:t>
          </w:r>
          <w:r>
            <w:tab/>
          </w:r>
          <w:r>
            <w:fldChar w:fldCharType="begin"/>
          </w:r>
          <w:r>
            <w:instrText xml:space="preserve"> PAGEREF _Toc2214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D952E0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管理目标</w:t>
          </w:r>
          <w:r>
            <w:tab/>
          </w:r>
          <w:r>
            <w:fldChar w:fldCharType="begin"/>
          </w:r>
          <w:r>
            <w:instrText xml:space="preserve"> PAGEREF _Toc14622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5444AB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组织架构与职责分工</w:t>
          </w:r>
          <w:r>
            <w:tab/>
          </w:r>
          <w:r>
            <w:fldChar w:fldCharType="begin"/>
          </w:r>
          <w:r>
            <w:instrText xml:space="preserve"> PAGEREF _Toc12217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C20AB5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容量管理内容</w:t>
          </w:r>
          <w:r>
            <w:tab/>
          </w:r>
          <w:r>
            <w:fldChar w:fldCharType="begin"/>
          </w:r>
          <w:r>
            <w:instrText xml:space="preserve"> PAGEREF _Toc18702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5B9EF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人力资源容量</w:t>
          </w:r>
          <w:r>
            <w:tab/>
          </w:r>
          <w:r>
            <w:fldChar w:fldCharType="begin"/>
          </w:r>
          <w:r>
            <w:instrText xml:space="preserve"> PAGEREF _Toc1552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35F3AE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设备与系统容量</w:t>
          </w:r>
          <w:r>
            <w:tab/>
          </w:r>
          <w:r>
            <w:fldChar w:fldCharType="begin"/>
          </w:r>
          <w:r>
            <w:instrText xml:space="preserve"> PAGEREF _Toc29369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2141F6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技术支撑容量</w:t>
          </w:r>
          <w:r>
            <w:tab/>
          </w:r>
          <w:r>
            <w:fldChar w:fldCharType="begin"/>
          </w:r>
          <w:r>
            <w:instrText xml:space="preserve"> PAGEREF _Toc17821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7663B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容量监控与评估机制</w:t>
          </w:r>
          <w:r>
            <w:tab/>
          </w:r>
          <w:r>
            <w:fldChar w:fldCharType="begin"/>
          </w:r>
          <w:r>
            <w:instrText xml:space="preserve"> PAGEREF _Toc13956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B6FCF0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应急扩容流程</w:t>
          </w:r>
          <w:r>
            <w:tab/>
          </w:r>
          <w:r>
            <w:fldChar w:fldCharType="begin"/>
          </w:r>
          <w:r>
            <w:instrText xml:space="preserve"> PAGEREF _Toc19080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7D7921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触发条件</w:t>
          </w:r>
          <w:r>
            <w:tab/>
          </w:r>
          <w:r>
            <w:fldChar w:fldCharType="begin"/>
          </w:r>
          <w:r>
            <w:instrText xml:space="preserve"> PAGEREF _Toc12287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4429E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响应机制</w:t>
          </w:r>
          <w:r>
            <w:tab/>
          </w:r>
          <w:r>
            <w:fldChar w:fldCharType="begin"/>
          </w:r>
          <w:r>
            <w:instrText xml:space="preserve"> PAGEREF _Toc23043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13FAEC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恢复时间</w:t>
          </w:r>
          <w:r>
            <w:tab/>
          </w:r>
          <w:r>
            <w:fldChar w:fldCharType="begin"/>
          </w:r>
          <w:r>
            <w:instrText xml:space="preserve"> PAGEREF _Toc20466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FA890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附件</w:t>
          </w:r>
          <w:r>
            <w:tab/>
          </w:r>
          <w:r>
            <w:fldChar w:fldCharType="begin"/>
          </w:r>
          <w:r>
            <w:instrText xml:space="preserve"> PAGEREF _Toc18594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D7EB36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214"/>
      <w:r>
        <w:rPr>
          <w:rFonts w:hint="default"/>
          <w:lang w:val="en-US" w:eastAsia="zh-CN"/>
        </w:rPr>
        <w:t>计划概述</w:t>
      </w:r>
      <w:bookmarkEnd w:id="7"/>
    </w:p>
    <w:p w14:paraId="5B3C59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依据《盐都区新能源汽车充电站建设项目合同》及公司《组织架构及职责说明》《岗位说明书》制定，旨在确保项目在建设与运维阶段具备充足的资源支持，保障充电设施的安全、稳定、高效运行，满足合同约定的技术标准与服务质量要求。</w:t>
      </w:r>
    </w:p>
    <w:p w14:paraId="01D22A8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4622"/>
      <w:r>
        <w:rPr>
          <w:rFonts w:hint="default"/>
          <w:lang w:val="en-US" w:eastAsia="zh-CN"/>
        </w:rPr>
        <w:t>管理目标</w:t>
      </w:r>
      <w:bookmarkEnd w:id="8"/>
    </w:p>
    <w:p w14:paraId="715EFD6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资源匹配：确保项目各阶段（设计、采购、施工、调试、运维）的人员、设备、技术资源充足。</w:t>
      </w:r>
    </w:p>
    <w:p w14:paraId="2B6C53F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容量预测：基于项目规模（6</w:t>
      </w:r>
      <w:r>
        <w:rPr>
          <w:rFonts w:hint="eastAsia"/>
          <w:lang w:val="en-US" w:eastAsia="zh-CN"/>
        </w:rPr>
        <w:t>0</w:t>
      </w:r>
      <w:r>
        <w:rPr>
          <w:rFonts w:hint="default"/>
          <w:lang w:val="en-US" w:eastAsia="zh-CN"/>
        </w:rPr>
        <w:t>个充电车位）和系统配置，预测未来12个月的资源需求。</w:t>
      </w:r>
    </w:p>
    <w:p w14:paraId="766863C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动态调整：建立容量监控机制，根据项目进展和实际使用情况动态调整资源配置。</w:t>
      </w:r>
    </w:p>
    <w:p w14:paraId="2BF5027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应急响应：确保在突发高负荷或故障情况下，具备快速扩容与应急处理能力。</w:t>
      </w:r>
    </w:p>
    <w:p w14:paraId="3CA3FF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2217"/>
      <w:r>
        <w:rPr>
          <w:rFonts w:hint="default"/>
          <w:lang w:val="en-US" w:eastAsia="zh-CN"/>
        </w:rPr>
        <w:t>组织架构与职责分工</w:t>
      </w:r>
      <w:bookmarkEnd w:id="9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8"/>
        <w:gridCol w:w="3720"/>
        <w:gridCol w:w="3644"/>
      </w:tblGrid>
      <w:tr w14:paraId="5ACD75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5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9199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部门</w:t>
            </w:r>
          </w:p>
        </w:tc>
        <w:tc>
          <w:tcPr>
            <w:tcW w:w="37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FC7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</w:t>
            </w:r>
          </w:p>
        </w:tc>
        <w:tc>
          <w:tcPr>
            <w:tcW w:w="36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B007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容量管理职责</w:t>
            </w:r>
          </w:p>
        </w:tc>
      </w:tr>
      <w:tr w14:paraId="7CF4A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F41E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B5D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4CD7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统筹项目整体资源调配，审批容量管理计划，协调跨部门资源支持</w:t>
            </w:r>
          </w:p>
        </w:tc>
      </w:tr>
      <w:tr w14:paraId="2D258D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19AC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7AA0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研发部经理、系统架构师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FA37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负责充电系统技术架构设计、软件容量评估与优化</w:t>
            </w:r>
          </w:p>
        </w:tc>
      </w:tr>
      <w:tr w14:paraId="4A577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577A9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011D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运维部经理、运维实施工程师、基础环境运维工程师、网络工程师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CE47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负责硬件设备、网络、电力等基础设施容量规划与监控</w:t>
            </w:r>
          </w:p>
        </w:tc>
      </w:tr>
      <w:tr w14:paraId="230CA5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BD2E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EF113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采购部经理、采购专员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3538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负责设备与物资采购计划，确保供应链资源匹配项目需求</w:t>
            </w:r>
          </w:p>
        </w:tc>
      </w:tr>
      <w:tr w14:paraId="1B6FDC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7569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D84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质量部经理、质量管理专员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F492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负责容量管理过程的质量审核与合规性检查</w:t>
            </w:r>
          </w:p>
        </w:tc>
      </w:tr>
      <w:tr w14:paraId="264FEB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5CB9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人力资源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0A78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人力资源部经理、人事专员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2B34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负责人员招聘、培训与配置，确保项目团队能力与规模匹配</w:t>
            </w:r>
          </w:p>
        </w:tc>
      </w:tr>
    </w:tbl>
    <w:p w14:paraId="0DD07F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</w:p>
    <w:p w14:paraId="19A5E6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8702"/>
      <w:r>
        <w:rPr>
          <w:rFonts w:hint="default"/>
          <w:lang w:val="en-US" w:eastAsia="zh-CN"/>
        </w:rPr>
        <w:t>容量管理内容</w:t>
      </w:r>
      <w:bookmarkEnd w:id="10"/>
    </w:p>
    <w:p w14:paraId="17DBDA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552"/>
      <w:r>
        <w:rPr>
          <w:rFonts w:hint="default"/>
          <w:lang w:val="en-US" w:eastAsia="zh-CN"/>
        </w:rPr>
        <w:t>人力资源容量</w:t>
      </w:r>
      <w:bookmarkEnd w:id="11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9"/>
        <w:gridCol w:w="3277"/>
        <w:gridCol w:w="714"/>
        <w:gridCol w:w="1610"/>
        <w:gridCol w:w="1312"/>
      </w:tblGrid>
      <w:tr w14:paraId="72E0F8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283A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327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B704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所需岗位</w:t>
            </w:r>
          </w:p>
        </w:tc>
        <w:tc>
          <w:tcPr>
            <w:tcW w:w="7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6E80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人数</w:t>
            </w:r>
          </w:p>
        </w:tc>
        <w:tc>
          <w:tcPr>
            <w:tcW w:w="16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910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时间节点</w:t>
            </w:r>
          </w:p>
        </w:tc>
        <w:tc>
          <w:tcPr>
            <w:tcW w:w="13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C7C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</w:tr>
      <w:tr w14:paraId="3CB3F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55D3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设计阶段</w:t>
            </w:r>
          </w:p>
        </w:tc>
        <w:tc>
          <w:tcPr>
            <w:tcW w:w="32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A1B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需求工程师、系统架构师、UI设计师</w:t>
            </w:r>
          </w:p>
        </w:tc>
        <w:tc>
          <w:tcPr>
            <w:tcW w:w="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4B05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4人</w:t>
            </w:r>
          </w:p>
        </w:tc>
        <w:tc>
          <w:tcPr>
            <w:tcW w:w="1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58A7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2025年4月—6月</w:t>
            </w:r>
          </w:p>
        </w:tc>
        <w:tc>
          <w:tcPr>
            <w:tcW w:w="13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B101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</w:t>
            </w:r>
          </w:p>
        </w:tc>
      </w:tr>
      <w:tr w14:paraId="5127C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E71B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采购与施工阶段</w:t>
            </w:r>
          </w:p>
        </w:tc>
        <w:tc>
          <w:tcPr>
            <w:tcW w:w="32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280C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运维项目经理、运维实施工程师、采购专员</w:t>
            </w:r>
          </w:p>
        </w:tc>
        <w:tc>
          <w:tcPr>
            <w:tcW w:w="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1987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6人</w:t>
            </w:r>
          </w:p>
        </w:tc>
        <w:tc>
          <w:tcPr>
            <w:tcW w:w="1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538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2025年7月—12月</w:t>
            </w:r>
          </w:p>
        </w:tc>
        <w:tc>
          <w:tcPr>
            <w:tcW w:w="13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E953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运维部、采购部</w:t>
            </w:r>
          </w:p>
        </w:tc>
      </w:tr>
      <w:tr w14:paraId="178F18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298D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调试与试运行阶段</w:t>
            </w:r>
          </w:p>
        </w:tc>
        <w:tc>
          <w:tcPr>
            <w:tcW w:w="32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903A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软件运维工程师、技术支持工程师</w:t>
            </w:r>
          </w:p>
        </w:tc>
        <w:tc>
          <w:tcPr>
            <w:tcW w:w="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8431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5人</w:t>
            </w:r>
          </w:p>
        </w:tc>
        <w:tc>
          <w:tcPr>
            <w:tcW w:w="1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0289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2026年1月—2月</w:t>
            </w:r>
          </w:p>
        </w:tc>
        <w:tc>
          <w:tcPr>
            <w:tcW w:w="13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ECBD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</w:tr>
      <w:tr w14:paraId="7783A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EB1D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运维阶段（质保期）</w:t>
            </w:r>
          </w:p>
        </w:tc>
        <w:tc>
          <w:tcPr>
            <w:tcW w:w="32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85A1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服务台客服、备件库管理专员</w:t>
            </w:r>
          </w:p>
        </w:tc>
        <w:tc>
          <w:tcPr>
            <w:tcW w:w="7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F689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3人</w:t>
            </w:r>
          </w:p>
        </w:tc>
        <w:tc>
          <w:tcPr>
            <w:tcW w:w="16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196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2026年3月起</w:t>
            </w:r>
          </w:p>
        </w:tc>
        <w:tc>
          <w:tcPr>
            <w:tcW w:w="13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27BE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</w:tr>
    </w:tbl>
    <w:p w14:paraId="5E9A9ED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9369"/>
      <w:r>
        <w:rPr>
          <w:rFonts w:hint="default"/>
          <w:lang w:val="en-US" w:eastAsia="zh-CN"/>
        </w:rPr>
        <w:t>设备与系统容量</w:t>
      </w:r>
      <w:bookmarkEnd w:id="12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0"/>
        <w:gridCol w:w="4164"/>
        <w:gridCol w:w="2121"/>
        <w:gridCol w:w="1247"/>
      </w:tblGrid>
      <w:tr w14:paraId="55FE51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4177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系统类别</w:t>
            </w:r>
          </w:p>
        </w:tc>
        <w:tc>
          <w:tcPr>
            <w:tcW w:w="41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57F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配置标准</w:t>
            </w:r>
          </w:p>
        </w:tc>
        <w:tc>
          <w:tcPr>
            <w:tcW w:w="21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BA1A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监控指标</w:t>
            </w:r>
          </w:p>
        </w:tc>
        <w:tc>
          <w:tcPr>
            <w:tcW w:w="12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BA66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责任岗位</w:t>
            </w:r>
          </w:p>
        </w:tc>
      </w:tr>
      <w:tr w14:paraId="63FD4A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B304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充电设备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96C4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120kW直流双枪×244、360kW直流双枪×19、200kW充电堆×5、480kW充电堆×4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BF9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使用率、故障率、响应时间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AF3B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基础环境运维工程师</w:t>
            </w:r>
          </w:p>
        </w:tc>
      </w:tr>
      <w:tr w14:paraId="7C999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1D9C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电力系统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CED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满足616个车位同时充电峰值负荷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2FB8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负载率、电压稳定性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25BB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基础环境运维工程师</w:t>
            </w:r>
          </w:p>
        </w:tc>
      </w:tr>
      <w:tr w14:paraId="3F847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BB61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网络与监控系统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9E8C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支持远程监控、数据传输、移动端管理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0CF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带宽使用率、数据延迟、系统可用性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965DE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网络工程师</w:t>
            </w:r>
          </w:p>
        </w:tc>
      </w:tr>
      <w:tr w14:paraId="4BAE0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E834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软件系统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98E9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支持用户认证、支付、数据分析、故障告警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E8A9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并发用户数、响应时间、存储容量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1ABA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</w:tr>
    </w:tbl>
    <w:p w14:paraId="5C0362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7821"/>
      <w:r>
        <w:rPr>
          <w:rFonts w:hint="default"/>
          <w:lang w:val="en-US" w:eastAsia="zh-CN"/>
        </w:rPr>
        <w:t>技术支撑容量</w:t>
      </w:r>
      <w:bookmarkEnd w:id="13"/>
    </w:p>
    <w:p w14:paraId="06D127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研发部：定期评估系统架构是否支持未来用户增长，提出扩容建议。</w:t>
      </w:r>
    </w:p>
    <w:p w14:paraId="0A16F3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运维部：建立设备健康档案，预测设备寿命与更换周期。</w:t>
      </w:r>
    </w:p>
    <w:p w14:paraId="3AF837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质量部：审核容量管理记录的完整性与合规性。</w:t>
      </w:r>
    </w:p>
    <w:p w14:paraId="637005D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3956"/>
      <w:r>
        <w:rPr>
          <w:rFonts w:hint="default"/>
          <w:lang w:val="en-US" w:eastAsia="zh-CN"/>
        </w:rPr>
        <w:t>容量监控与评估机制</w:t>
      </w:r>
      <w:bookmarkEnd w:id="14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2"/>
        <w:gridCol w:w="3417"/>
        <w:gridCol w:w="2674"/>
        <w:gridCol w:w="1449"/>
      </w:tblGrid>
      <w:tr w14:paraId="3248CA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1568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监控周期</w:t>
            </w:r>
          </w:p>
        </w:tc>
        <w:tc>
          <w:tcPr>
            <w:tcW w:w="34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5805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监控内容</w:t>
            </w:r>
          </w:p>
        </w:tc>
        <w:tc>
          <w:tcPr>
            <w:tcW w:w="26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A43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评估标准</w:t>
            </w:r>
          </w:p>
        </w:tc>
        <w:tc>
          <w:tcPr>
            <w:tcW w:w="144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F90C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责任岗位</w:t>
            </w:r>
          </w:p>
        </w:tc>
      </w:tr>
      <w:tr w14:paraId="39C754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A442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月度</w:t>
            </w:r>
          </w:p>
        </w:tc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E0C4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设备使用率、系统响应时间、人员负荷</w:t>
            </w:r>
          </w:p>
        </w:tc>
        <w:tc>
          <w:tcPr>
            <w:tcW w:w="26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0B67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使用率≤85%，响应时间≤2秒</w:t>
            </w:r>
          </w:p>
        </w:tc>
        <w:tc>
          <w:tcPr>
            <w:tcW w:w="14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FB10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</w:tr>
      <w:tr w14:paraId="69CEE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48B4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季度</w:t>
            </w:r>
          </w:p>
        </w:tc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8E78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系统并发用户数、存储增长趋势</w:t>
            </w:r>
          </w:p>
        </w:tc>
        <w:tc>
          <w:tcPr>
            <w:tcW w:w="26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448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存储余量≥30%</w:t>
            </w:r>
          </w:p>
        </w:tc>
        <w:tc>
          <w:tcPr>
            <w:tcW w:w="14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2B131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</w:tr>
      <w:tr w14:paraId="451065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9EB7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半年度</w:t>
            </w:r>
          </w:p>
        </w:tc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0F7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整体资源使用趋势、容量缺口预测</w:t>
            </w:r>
          </w:p>
        </w:tc>
        <w:tc>
          <w:tcPr>
            <w:tcW w:w="26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9FEA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符合项目进展与合同约定</w:t>
            </w:r>
          </w:p>
        </w:tc>
        <w:tc>
          <w:tcPr>
            <w:tcW w:w="14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B4DE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</w:t>
            </w:r>
          </w:p>
        </w:tc>
      </w:tr>
      <w:tr w14:paraId="0C869C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48B5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年度</w:t>
            </w:r>
          </w:p>
        </w:tc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F9EF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年度容量总结与下一年度规划</w:t>
            </w:r>
          </w:p>
        </w:tc>
        <w:tc>
          <w:tcPr>
            <w:tcW w:w="26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F12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资源充足率≥95%</w:t>
            </w:r>
          </w:p>
        </w:tc>
        <w:tc>
          <w:tcPr>
            <w:tcW w:w="14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9B6C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</w:tr>
    </w:tbl>
    <w:p w14:paraId="235D13B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9080"/>
      <w:r>
        <w:rPr>
          <w:rFonts w:hint="default"/>
          <w:lang w:val="en-US" w:eastAsia="zh-CN"/>
        </w:rPr>
        <w:t>应急扩容流程</w:t>
      </w:r>
      <w:bookmarkEnd w:id="15"/>
    </w:p>
    <w:p w14:paraId="65F11F00">
      <w:pPr>
        <w:pStyle w:val="30"/>
        <w:bidi w:val="0"/>
        <w:rPr>
          <w:rFonts w:hint="default"/>
          <w:lang w:val="en-US" w:eastAsia="zh-CN"/>
        </w:rPr>
      </w:pPr>
      <w:bookmarkStart w:id="16" w:name="_Toc12287"/>
      <w:r>
        <w:rPr>
          <w:rFonts w:hint="default"/>
          <w:lang w:val="en-US" w:eastAsia="zh-CN"/>
        </w:rPr>
        <w:t>触发条件</w:t>
      </w:r>
      <w:bookmarkEnd w:id="16"/>
    </w:p>
    <w:p w14:paraId="2920576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系统使用率持续≥90%或突发故障影响服务。</w:t>
      </w:r>
    </w:p>
    <w:p w14:paraId="1F5571C0">
      <w:pPr>
        <w:pStyle w:val="30"/>
        <w:bidi w:val="0"/>
        <w:rPr>
          <w:rFonts w:hint="default"/>
          <w:lang w:val="en-US" w:eastAsia="zh-CN"/>
        </w:rPr>
      </w:pPr>
      <w:bookmarkStart w:id="17" w:name="_Toc23043"/>
      <w:r>
        <w:rPr>
          <w:rFonts w:hint="default"/>
          <w:lang w:val="en-US" w:eastAsia="zh-CN"/>
        </w:rPr>
        <w:t>响应机制</w:t>
      </w:r>
      <w:bookmarkEnd w:id="17"/>
    </w:p>
    <w:p w14:paraId="3785FBE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服务台接收告警，通知运维部经理；</w:t>
      </w:r>
    </w:p>
    <w:p w14:paraId="06669D0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运维部启动应急预案，协调备件库、网络工程师、软件工程师；</w:t>
      </w:r>
    </w:p>
    <w:p w14:paraId="61BD4D8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采购部启动紧急采购流程（如必要）；</w:t>
      </w:r>
    </w:p>
    <w:p w14:paraId="224CA43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质量部记录事件并评估处理效果。</w:t>
      </w:r>
    </w:p>
    <w:p w14:paraId="73D90D0B">
      <w:pPr>
        <w:pStyle w:val="30"/>
        <w:bidi w:val="0"/>
        <w:rPr>
          <w:rFonts w:hint="default"/>
          <w:lang w:val="en-US" w:eastAsia="zh-CN"/>
        </w:rPr>
      </w:pPr>
      <w:bookmarkStart w:id="18" w:name="_Toc20466"/>
      <w:r>
        <w:rPr>
          <w:rFonts w:hint="default"/>
          <w:lang w:val="en-US" w:eastAsia="zh-CN"/>
        </w:rPr>
        <w:t>恢复时间</w:t>
      </w:r>
      <w:bookmarkEnd w:id="18"/>
    </w:p>
    <w:p w14:paraId="7E18B01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一般故障：4小时内；</w:t>
      </w:r>
    </w:p>
    <w:p w14:paraId="254E49B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重大故障：12小时内。</w:t>
      </w:r>
    </w:p>
    <w:p w14:paraId="22F3F48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8594"/>
      <w:r>
        <w:rPr>
          <w:rFonts w:hint="default"/>
          <w:lang w:val="en-US" w:eastAsia="zh-CN"/>
        </w:rPr>
        <w:t>附件</w:t>
      </w:r>
      <w:bookmarkEnd w:id="19"/>
    </w:p>
    <w:p w14:paraId="416E106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项目容量监控记录表（模板）</w:t>
      </w:r>
    </w:p>
    <w:p w14:paraId="7A96424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应急扩容预案（详细流程）</w:t>
      </w:r>
    </w:p>
    <w:p w14:paraId="194B737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设备清单与容量参数对照表</w:t>
      </w:r>
    </w:p>
    <w:p w14:paraId="35127D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7D5A5CF"/>
    <w:multiLevelType w:val="singleLevel"/>
    <w:tmpl w:val="37D5A5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8AA44F4"/>
    <w:rsid w:val="0FE443F8"/>
    <w:rsid w:val="12064188"/>
    <w:rsid w:val="12C27C3B"/>
    <w:rsid w:val="12E44CE8"/>
    <w:rsid w:val="15933DFA"/>
    <w:rsid w:val="1D64304A"/>
    <w:rsid w:val="1F4849A4"/>
    <w:rsid w:val="22611685"/>
    <w:rsid w:val="24D171E9"/>
    <w:rsid w:val="29C830FC"/>
    <w:rsid w:val="2B1E0CAF"/>
    <w:rsid w:val="30F73B34"/>
    <w:rsid w:val="38F848ED"/>
    <w:rsid w:val="3A08534A"/>
    <w:rsid w:val="3DC92CFC"/>
    <w:rsid w:val="4225102D"/>
    <w:rsid w:val="49EB5DA8"/>
    <w:rsid w:val="4A5B1180"/>
    <w:rsid w:val="4A6F0787"/>
    <w:rsid w:val="4C2725D5"/>
    <w:rsid w:val="4C475FD9"/>
    <w:rsid w:val="543D5452"/>
    <w:rsid w:val="69070C28"/>
    <w:rsid w:val="69AE2C22"/>
    <w:rsid w:val="74312431"/>
    <w:rsid w:val="75846F2D"/>
    <w:rsid w:val="77297D8C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1525</Words>
  <Characters>1645</Characters>
  <Lines>0</Lines>
  <Paragraphs>0</Paragraphs>
  <TotalTime>5</TotalTime>
  <ScaleCrop>false</ScaleCrop>
  <LinksUpToDate>false</LinksUpToDate>
  <CharactersWithSpaces>1709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2026-02-10T06:49:19Z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