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10ECA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7ACA8524">
      <w:pPr>
        <w:pStyle w:val="3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0" w:name="_Toc28707"/>
      <w:r>
        <w:rPr>
          <w:rFonts w:hint="eastAsia"/>
          <w:lang w:val="en-US" w:eastAsia="zh-CN"/>
        </w:rPr>
        <w:t>最终软件库管理制度</w:t>
      </w:r>
      <w:bookmarkEnd w:id="0"/>
    </w:p>
    <w:p w14:paraId="27BE737F">
      <w:pPr>
        <w:pStyle w:val="3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25541"/>
      <w:r>
        <w:t>中达丰集团有限公司</w:t>
      </w:r>
      <w:bookmarkEnd w:id="1"/>
    </w:p>
    <w:p w14:paraId="0AE3160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ind w:left="328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-04</w:t>
      </w:r>
    </w:p>
    <w:p w14:paraId="591C2770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5D4DD299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258" w:lineRule="auto"/>
      </w:pPr>
    </w:p>
    <w:p w14:paraId="409BEFB0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23197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06AB4849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26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79469C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3BF2448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2321AEE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最终软件库管理制度</w:t>
            </w:r>
            <w:r>
              <w:rPr>
                <w:spacing w:val="-1"/>
              </w:rPr>
              <w:t>（ZDFJT-ITSS-</w:t>
            </w:r>
            <w:r>
              <w:rPr>
                <w:rFonts w:hint="eastAsia"/>
                <w:spacing w:val="-1"/>
                <w:lang w:val="en-US" w:eastAsia="zh-CN"/>
              </w:rPr>
              <w:t>ZZRJKGL</w:t>
            </w:r>
            <w:r>
              <w:rPr>
                <w:spacing w:val="-1"/>
              </w:rPr>
              <w:t>）</w:t>
            </w:r>
          </w:p>
        </w:tc>
      </w:tr>
      <w:tr w14:paraId="1474D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0C0B76ED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0070D6B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7B055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23A04FDD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23EFB1CC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3B28E69F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3D7F7AC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7C050A0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391A1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683F3B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909699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</w:pPr>
            <w:r>
              <w:rPr>
                <w:spacing w:val="-2"/>
              </w:rPr>
              <w:t>2025-4-4</w:t>
            </w:r>
          </w:p>
        </w:tc>
        <w:tc>
          <w:tcPr>
            <w:tcW w:w="2302" w:type="dxa"/>
          </w:tcPr>
          <w:p w14:paraId="65A5161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648EF19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</w:pPr>
            <w:r>
              <w:rPr>
                <w:spacing w:val="-5"/>
              </w:rPr>
              <w:t>宫海亭</w:t>
            </w:r>
          </w:p>
        </w:tc>
        <w:tc>
          <w:tcPr>
            <w:tcW w:w="1953" w:type="dxa"/>
          </w:tcPr>
          <w:p w14:paraId="2C527327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 w14:paraId="18532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93525FD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6DF1FB3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 w14:paraId="3213964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17A14B3F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AF75123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 w14:paraId="07E4A3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E3295A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D1E21E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 w14:paraId="7A5EA7B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4194267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60E9BF3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 w14:paraId="75D10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3872BF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4C1940D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 w14:paraId="12B0315F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0ED095D1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5C7647C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 w14:paraId="7DB26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465F1A7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23D9436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C49790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E4EB83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6D2E6F7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12DFCD89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45E31E27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ectPr>
          <w:pgSz w:w="11906" w:h="16839"/>
          <w:pgMar w:top="1431" w:right="1236" w:bottom="0" w:left="1588" w:header="0" w:footer="0" w:gutter="0"/>
          <w:cols w:space="720" w:num="1"/>
        </w:sectPr>
      </w:pPr>
    </w:p>
    <w:p w14:paraId="64EA406C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9644"/>
        <w:docPartObj>
          <w:docPartGallery w:val="Table of Contents"/>
          <w:docPartUnique/>
        </w:docPartObj>
      </w:sdtPr>
      <w:sdtEndPr>
        <w:rPr>
          <w:rFonts w:hint="default"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648D79C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AD4A157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"1-2"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_Toc28707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最终软件库管理制度</w:t>
          </w:r>
          <w:r>
            <w:tab/>
          </w:r>
          <w:r>
            <w:fldChar w:fldCharType="begin"/>
          </w:r>
          <w:r>
            <w:instrText xml:space="preserve"> PAGEREF _Toc28707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EBEB66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_Toc25541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_Toc25541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1A3FED0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_Toc23197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_Toc23197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B55E349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_Toc7502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_Toc7502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95978F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_Toc19004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_Toc19004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CD305B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_Toc25700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3. 定义</w:t>
          </w:r>
          <w:r>
            <w:tab/>
          </w:r>
          <w:r>
            <w:fldChar w:fldCharType="begin"/>
          </w:r>
          <w:r>
            <w:instrText xml:space="preserve"> PAGEREF _Toc25700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5EAC22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_Toc29509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4. 职责分工</w:t>
          </w:r>
          <w:r>
            <w:tab/>
          </w:r>
          <w:r>
            <w:fldChar w:fldCharType="begin"/>
          </w:r>
          <w:r>
            <w:instrText xml:space="preserve"> PAGEREF _Toc29509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1BA950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_Toc11782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 xml:space="preserve">4.1. </w:t>
          </w:r>
          <w:r>
            <w:rPr>
              <w:rFonts w:hint="eastAsia"/>
              <w:szCs w:val="24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_Toc11782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5ED3AE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_Toc2374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4.2. 采购部</w:t>
          </w:r>
          <w:r>
            <w:tab/>
          </w:r>
          <w:r>
            <w:fldChar w:fldCharType="begin"/>
          </w:r>
          <w:r>
            <w:instrText xml:space="preserve"> PAGEREF _Toc2374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4B11D48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_Toc20464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 w:eastAsia="宋体"/>
              <w:szCs w:val="24"/>
              <w:lang w:val="en-US" w:eastAsia="zh-CN"/>
            </w:rPr>
            <w:t xml:space="preserve">4.3. </w:t>
          </w:r>
          <w:r>
            <w:rPr>
              <w:rFonts w:hint="default"/>
              <w:szCs w:val="24"/>
            </w:rPr>
            <w:t>质量部</w:t>
          </w:r>
          <w:bookmarkStart w:id="19" w:name="_GoBack"/>
          <w:bookmarkEnd w:id="19"/>
          <w:r>
            <w:tab/>
          </w:r>
          <w:r>
            <w:fldChar w:fldCharType="begin"/>
          </w:r>
          <w:r>
            <w:instrText xml:space="preserve"> PAGEREF _Toc20464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5BF66E5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_Toc16868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 管理要求</w:t>
          </w:r>
          <w:r>
            <w:tab/>
          </w:r>
          <w:r>
            <w:fldChar w:fldCharType="begin"/>
          </w:r>
          <w:r>
            <w:instrText xml:space="preserve"> PAGEREF _Toc16868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E756A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_Toc27809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5.1. 软件获取与入库</w:t>
          </w:r>
          <w:r>
            <w:tab/>
          </w:r>
          <w:r>
            <w:fldChar w:fldCharType="begin"/>
          </w:r>
          <w:r>
            <w:instrText xml:space="preserve"> PAGEREF _Toc27809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190972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_Toc13132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5.2. 软件分发与使用</w:t>
          </w:r>
          <w:r>
            <w:tab/>
          </w:r>
          <w:r>
            <w:fldChar w:fldCharType="begin"/>
          </w:r>
          <w:r>
            <w:instrText xml:space="preserve"> PAGEREF _Toc13132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4DA9359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_Toc28824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szCs w:val="24"/>
            </w:rPr>
            <w:t>5.3. 软件更新与维护</w:t>
          </w:r>
          <w:r>
            <w:tab/>
          </w:r>
          <w:r>
            <w:fldChar w:fldCharType="begin"/>
          </w:r>
          <w:r>
            <w:instrText xml:space="preserve"> PAGEREF _Toc28824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A6619A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_Toc4860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访问控制与权限管理</w:t>
          </w:r>
          <w:r>
            <w:tab/>
          </w:r>
          <w:r>
            <w:fldChar w:fldCharType="begin"/>
          </w:r>
          <w:r>
            <w:instrText xml:space="preserve"> PAGEREF _Toc4860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F7F3F0C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_Toc12906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5.5. 软件更新、备份与维护</w:t>
          </w:r>
          <w:r>
            <w:tab/>
          </w:r>
          <w:r>
            <w:fldChar w:fldCharType="begin"/>
          </w:r>
          <w:r>
            <w:instrText xml:space="preserve"> PAGEREF _Toc12906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F64618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_Toc16380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5.6. 软件报废与归档</w:t>
          </w:r>
          <w:r>
            <w:tab/>
          </w:r>
          <w:r>
            <w:fldChar w:fldCharType="begin"/>
          </w:r>
          <w:r>
            <w:instrText xml:space="preserve"> PAGEREF _Toc16380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E7D8B1A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_Toc5284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>5.7. 监督与审计</w:t>
          </w:r>
          <w:r>
            <w:tab/>
          </w:r>
          <w:r>
            <w:fldChar w:fldCharType="begin"/>
          </w:r>
          <w:r>
            <w:instrText xml:space="preserve"> PAGEREF _Toc5284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C9F56E3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_Toc7107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_Toc7107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5146A07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3FBC5B4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br w:type="page"/>
      </w:r>
    </w:p>
    <w:p w14:paraId="7EA5C536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3" w:name="_Toc7502"/>
      <w:r>
        <w:rPr>
          <w:rFonts w:hint="default"/>
        </w:rPr>
        <w:t>目的</w:t>
      </w:r>
      <w:bookmarkEnd w:id="3"/>
    </w:p>
    <w:p w14:paraId="508B79F8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为规范公司软件资产的全生命周期管理，确保软件使用的合法性、安全性和可追溯性，满足ITSS（信息技术服务标准）认证要求，提高软件资源利用率，降低法律和运营风险，特制定本制度。</w:t>
      </w:r>
    </w:p>
    <w:p w14:paraId="40F1121B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4" w:name="_Toc19004"/>
      <w:r>
        <w:rPr>
          <w:rFonts w:hint="default"/>
        </w:rPr>
        <w:t>适用范围</w:t>
      </w:r>
      <w:bookmarkEnd w:id="4"/>
    </w:p>
    <w:p w14:paraId="188C8BF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本制度适用于公司所有软件资产的采购、入库、分发、使用、维护、更新及报废等全过程管理，包括但不限于：操作系统、办公软件、业务软件系统、开发工具、数据库及中间件、其他授权软件。</w:t>
      </w:r>
    </w:p>
    <w:p w14:paraId="6AC8C901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适用对象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公司所有部门及员工，包括正式员工、外包人员及第三方合作方（如适用）。</w:t>
      </w:r>
    </w:p>
    <w:p w14:paraId="7B9A0468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5" w:name="_Toc25700"/>
      <w:r>
        <w:rPr>
          <w:rFonts w:hint="default"/>
        </w:rPr>
        <w:t>定义</w:t>
      </w:r>
      <w:bookmarkEnd w:id="5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1"/>
        <w:gridCol w:w="7045"/>
      </w:tblGrid>
      <w:tr w14:paraId="0B702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7" w:hRule="atLeast"/>
          <w:tblHeader/>
        </w:trPr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F8B9A74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auto"/>
                <w:shd w:val="clear" w:color="auto" w:fill="auto"/>
                <w:lang w:val="en-US" w:eastAsia="zh-CN"/>
              </w:rPr>
              <w:t>术语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AE445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定义</w:t>
            </w:r>
          </w:p>
        </w:tc>
      </w:tr>
      <w:tr w14:paraId="0E7CE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E78A807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软件资产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DEC82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公司拥有或使用的所有软件，包括商业软件、开源软件及自主研发软件</w:t>
            </w:r>
          </w:p>
        </w:tc>
      </w:tr>
      <w:tr w14:paraId="6675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F12CA14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授权软件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E8171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已获得合法授权（许可证、订阅等）的软件</w:t>
            </w:r>
          </w:p>
        </w:tc>
      </w:tr>
      <w:tr w14:paraId="1070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114FA05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非授权软件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016C4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未获得合法授权或超出授权范围使用的软件</w:t>
            </w:r>
          </w:p>
        </w:tc>
      </w:tr>
      <w:tr w14:paraId="48548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CEFB288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软件库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F2BC2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公司集中存储、管理软件的标准化存储库，包括物理介质和数字存储</w:t>
            </w:r>
          </w:p>
        </w:tc>
      </w:tr>
      <w:tr w14:paraId="6DF0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52381D6C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ITSS</w:t>
            </w:r>
          </w:p>
        </w:tc>
        <w:tc>
          <w:tcPr>
            <w:tcW w:w="70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1E58E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shd w:val="clear" w:color="auto" w:fill="FFFFFF"/>
              <w:wordWrap/>
              <w:overflowPunct/>
              <w:topLinePunct w:val="0"/>
              <w:bidi w:val="0"/>
              <w:spacing w:before="165" w:beforeAutospacing="0" w:after="165" w:afterAutospacing="0" w:line="343" w:lineRule="atLeast"/>
              <w:ind w:left="0" w:right="0" w:firstLine="0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信息技术服务标准（Information Technology Service Standards），中国IT服务行业标准</w:t>
            </w:r>
          </w:p>
        </w:tc>
      </w:tr>
    </w:tbl>
    <w:p w14:paraId="2EBA6934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</w:p>
    <w:p w14:paraId="3915FED7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6" w:name="_Toc29509"/>
      <w:r>
        <w:rPr>
          <w:rFonts w:hint="default"/>
        </w:rPr>
        <w:t>职责分工</w:t>
      </w:r>
      <w:bookmarkEnd w:id="6"/>
    </w:p>
    <w:p w14:paraId="4729E3AA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7" w:name="_Toc11782"/>
      <w:r>
        <w:rPr>
          <w:rFonts w:hint="eastAsia"/>
          <w:sz w:val="24"/>
          <w:szCs w:val="24"/>
          <w:lang w:val="en-US" w:eastAsia="zh-CN"/>
        </w:rPr>
        <w:t>研发部</w:t>
      </w:r>
      <w:bookmarkEnd w:id="7"/>
    </w:p>
    <w:p w14:paraId="3EEDDA56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负责软件库的建立、维护及安全管理</w:t>
      </w:r>
    </w:p>
    <w:p w14:paraId="15E98F95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审核软件采购的技术可行性</w:t>
      </w:r>
    </w:p>
    <w:p w14:paraId="70683042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管理软件授权、分发及版本控制</w:t>
      </w:r>
    </w:p>
    <w:p w14:paraId="249E8DDC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定期进行软件合规性检查及漏洞修复</w:t>
      </w:r>
    </w:p>
    <w:p w14:paraId="0D080981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5.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提供软件使用培训及技术支持</w:t>
      </w:r>
    </w:p>
    <w:p w14:paraId="55ACE7C3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8" w:name="_Toc2374"/>
      <w:r>
        <w:rPr>
          <w:rFonts w:hint="default"/>
          <w:sz w:val="24"/>
          <w:szCs w:val="24"/>
        </w:rPr>
        <w:t>采购部</w:t>
      </w:r>
      <w:bookmarkEnd w:id="8"/>
    </w:p>
    <w:p w14:paraId="03CF35D5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执行软件采购流程，确保采购渠道合法</w:t>
      </w:r>
    </w:p>
    <w:p w14:paraId="23B5EDE6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保存采购合同及授权文件</w:t>
      </w:r>
    </w:p>
    <w:p w14:paraId="05B41E68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eastAsia="宋体"/>
          <w:sz w:val="24"/>
          <w:szCs w:val="24"/>
          <w:lang w:val="en-US" w:eastAsia="zh-CN"/>
        </w:rPr>
      </w:pPr>
      <w:bookmarkStart w:id="9" w:name="_Toc20464"/>
      <w:r>
        <w:rPr>
          <w:rFonts w:hint="default"/>
          <w:sz w:val="24"/>
          <w:szCs w:val="24"/>
        </w:rPr>
        <w:t>质量部</w:t>
      </w:r>
      <w:bookmarkEnd w:id="9"/>
    </w:p>
    <w:p w14:paraId="20A7C36A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监督软件管理是否符合ITSS标准</w:t>
      </w:r>
    </w:p>
    <w:p w14:paraId="507F329F">
      <w:pPr>
        <w:pStyle w:val="18"/>
        <w:keepNext w:val="0"/>
        <w:keepLines w:val="0"/>
        <w:pageBreakBefore w:val="0"/>
        <w:widowControl w:val="0"/>
        <w:suppressLineNumbers w:val="0"/>
        <w:shd w:val="clear" w:color="auto" w:fill="auto"/>
        <w:wordWrap/>
        <w:overflowPunct/>
        <w:topLinePunct w:val="0"/>
        <w:bidi w:val="0"/>
        <w:spacing w:before="165" w:beforeAutospacing="0" w:after="165" w:afterAutospacing="0" w:line="343" w:lineRule="atLeast"/>
        <w:ind w:left="0" w:right="0" w:firstLine="0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组织内部审计及改进</w:t>
      </w:r>
    </w:p>
    <w:p w14:paraId="37ED8784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10" w:name="_Toc16868"/>
      <w:r>
        <w:rPr>
          <w:rFonts w:hint="default"/>
        </w:rPr>
        <w:t>管理要求</w:t>
      </w:r>
      <w:bookmarkEnd w:id="10"/>
    </w:p>
    <w:p w14:paraId="38DBEE9A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11" w:name="_Toc27809"/>
      <w:r>
        <w:rPr>
          <w:rFonts w:hint="default"/>
          <w:sz w:val="24"/>
          <w:szCs w:val="24"/>
        </w:rPr>
        <w:t>软件获取与入库</w:t>
      </w:r>
      <w:bookmarkEnd w:id="11"/>
    </w:p>
    <w:p w14:paraId="642B1471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采购审批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：所有软件采购需填写《软件采购申请表》，经IT、法务、财务审核后执行。</w:t>
      </w:r>
    </w:p>
    <w:p w14:paraId="7165C58A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入库登记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：软件入库时需记录名称、版本、供应商、授权数量、有效期等信息，并存储安装介质及授权文件。</w:t>
      </w:r>
    </w:p>
    <w:p w14:paraId="285C4618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安全检测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：所有软件需进行病毒扫描及安全评估后方可入库。</w:t>
      </w:r>
    </w:p>
    <w:p w14:paraId="606008B1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12" w:name="_Toc13132"/>
      <w:r>
        <w:rPr>
          <w:rFonts w:hint="default"/>
          <w:sz w:val="24"/>
          <w:szCs w:val="24"/>
        </w:rPr>
        <w:t>软件分发与使用</w:t>
      </w:r>
      <w:bookmarkEnd w:id="12"/>
    </w:p>
    <w:p w14:paraId="170CAA89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统一分发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：仅IT部门有权分发软件，禁止员工私自安装。</w:t>
      </w:r>
    </w:p>
    <w:p w14:paraId="750232A7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授权管理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：确保分发数量不超过授权范围，并记录分发对象及时间。</w:t>
      </w:r>
    </w:p>
    <w:p w14:paraId="6D71AFBE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使用规范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：禁止使用盗版软件、破解软件或超出授权范围使用。</w:t>
      </w:r>
    </w:p>
    <w:p w14:paraId="0C96A522">
      <w:pPr>
        <w:pStyle w:val="3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sz w:val="24"/>
          <w:szCs w:val="24"/>
        </w:rPr>
      </w:pPr>
      <w:bookmarkStart w:id="13" w:name="_Toc28824"/>
      <w:r>
        <w:rPr>
          <w:rFonts w:hint="default"/>
          <w:sz w:val="24"/>
          <w:szCs w:val="24"/>
        </w:rPr>
        <w:t>软件更新与维护</w:t>
      </w:r>
      <w:bookmarkEnd w:id="13"/>
    </w:p>
    <w:p w14:paraId="7933EC99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版本控制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：IT部门负责管理软件版本，确保使用稳定版本。</w:t>
      </w:r>
    </w:p>
    <w:p w14:paraId="06519F8A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补丁管理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：安全补丁应在72小时内部署，功能性更新需测试后实施。</w:t>
      </w:r>
    </w:p>
    <w:p w14:paraId="2F22C819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4" w:name="_Toc4860"/>
      <w:r>
        <w:rPr>
          <w:rFonts w:hint="eastAsia"/>
          <w:lang w:val="en-US" w:eastAsia="zh-CN"/>
        </w:rPr>
        <w:t>访问控制与权限管理</w:t>
      </w:r>
      <w:bookmarkEnd w:id="14"/>
    </w:p>
    <w:p w14:paraId="68494B81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访问原则</w:t>
      </w:r>
    </w:p>
    <w:p w14:paraId="4EBDF6F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最终软件库的访问遵循“最小权限原则”和“职责分离原则”，仅允许授权人员在授权范围内访问相应资源。</w:t>
      </w:r>
    </w:p>
    <w:p w14:paraId="6BA31FC9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所有访问行为应可追溯、可审计。</w:t>
      </w:r>
    </w:p>
    <w:p w14:paraId="40E7F479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访问角色与权限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4779"/>
        <w:gridCol w:w="2859"/>
      </w:tblGrid>
      <w:tr w14:paraId="66558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AFD7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359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权限范围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A79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审批流程</w:t>
            </w:r>
          </w:p>
        </w:tc>
      </w:tr>
      <w:tr w14:paraId="5CF13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1E8C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09E36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全库读写权限，包括上传、更新、删除、备份、恢复等操作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DED38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</w:t>
            </w:r>
          </w:p>
        </w:tc>
      </w:tr>
      <w:tr w14:paraId="63EE3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98A0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1723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读取权限，可下载已发布的软件版本及相关文档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C926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项目经理审批</w:t>
            </w:r>
          </w:p>
        </w:tc>
      </w:tr>
      <w:tr w14:paraId="23586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F1639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质量部人员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2CF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读取权限，可审计软件版本、授权文件及操作日志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905B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</w:t>
            </w:r>
          </w:p>
        </w:tc>
      </w:tr>
      <w:tr w14:paraId="393E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8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A731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其他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运维相关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人员</w:t>
            </w:r>
          </w:p>
        </w:tc>
        <w:tc>
          <w:tcPr>
            <w:tcW w:w="4779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B61F9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按需申请临时读取权限，仅限特定软件版本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64075A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+研发部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审批</w:t>
            </w:r>
          </w:p>
        </w:tc>
      </w:tr>
    </w:tbl>
    <w:p w14:paraId="4F8BA526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访问申请与审批</w:t>
      </w:r>
    </w:p>
    <w:p w14:paraId="7D55F8D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所有人员首次访问软件库前，需填写《软件库访问权限申请表》，明确访问目的、所需软件范围及使用期限。</w:t>
      </w:r>
    </w:p>
    <w:p w14:paraId="28BB76D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申请表经所在部门负责人及研发部负责人审批后，由研发部管理员开通相应权限。</w:t>
      </w:r>
    </w:p>
    <w:p w14:paraId="44FB17CF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临时访问权限有效期最长不超过30天，到期后自动失效，如需延长需重新申请。</w:t>
      </w:r>
    </w:p>
    <w:p w14:paraId="5359B2D4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访问方式与安全要求</w:t>
      </w:r>
    </w:p>
    <w:p w14:paraId="0727B69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软件库仅允许通过公司内网或VPN访问，禁止外部网络直接访问。</w:t>
      </w:r>
    </w:p>
    <w:p w14:paraId="200A819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访问账号实行实名制，禁止共享账号。</w:t>
      </w:r>
    </w:p>
    <w:p w14:paraId="1580708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所有访问操作均需记录日志，包括登录时间、操作内容、下载记录等，日志保留时间不少于2年。</w:t>
      </w:r>
    </w:p>
    <w:p w14:paraId="28A24C38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敏感软件（如核心业务系统源代码、授权文件等）的访问需启用双因素认证。</w:t>
      </w:r>
    </w:p>
    <w:p w14:paraId="7085D22E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违规访问处理</w:t>
      </w:r>
    </w:p>
    <w:p w14:paraId="29B6B52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未经授权访问软件库，视为严重违规行为。</w:t>
      </w:r>
    </w:p>
    <w:p w14:paraId="36CAD91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一经发现，立即终止访问权限，并根据情节轻重按“监督与审计”章节中的违规处理措施执行。</w:t>
      </w:r>
    </w:p>
    <w:p w14:paraId="50EDBBF2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bookmarkStart w:id="15" w:name="_Toc12906"/>
      <w:r>
        <w:rPr>
          <w:rFonts w:hint="default"/>
        </w:rPr>
        <w:t>软件更新、备份与维护</w:t>
      </w:r>
      <w:bookmarkEnd w:id="15"/>
    </w:p>
    <w:p w14:paraId="19C755F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版本控制</w:t>
      </w:r>
    </w:p>
    <w:p w14:paraId="18473C42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最终软件库中每个软件项必须有明确的版本标识。只有通过测试和审批的稳定版本才能被置为“发布”状态。旧版本应保留以供追溯。</w:t>
      </w:r>
    </w:p>
    <w:p w14:paraId="396D539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补丁管理</w:t>
      </w:r>
    </w:p>
    <w:p w14:paraId="2DB17E8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针对库内软件的安全补丁，研发部应在厂商发布后的72小时内评估并部署至测试环境，经测试无误后，尽快更新至最终软件库中的相应版本。</w:t>
      </w:r>
    </w:p>
    <w:p w14:paraId="6E06B3C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定期备份</w:t>
      </w:r>
    </w:p>
    <w:p w14:paraId="2A799DCE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研发部须对最终软件库及其所有元数据、授权文件进行定期备份。</w:t>
      </w:r>
    </w:p>
    <w:p w14:paraId="4281BD2B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备份周期不得长于每周一次完整备份，每日一次增量备份。</w:t>
      </w:r>
    </w:p>
    <w:p w14:paraId="222BD92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备份介质必须进行加密，并在物理上与主库异地存放。</w:t>
      </w:r>
    </w:p>
    <w:p w14:paraId="2D65576C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</w:rPr>
      </w:pPr>
      <w:r>
        <w:rPr>
          <w:rFonts w:hint="default"/>
        </w:rPr>
        <w:t>必须每年至少执行一次备份恢复演练，验证备份数据的有效性和恢复流程的可行性，并记录演练报告。</w:t>
      </w:r>
    </w:p>
    <w:p w14:paraId="63FF1A10">
      <w:pPr>
        <w:pStyle w:val="30"/>
        <w:bidi w:val="0"/>
        <w:rPr>
          <w:rFonts w:hint="default"/>
        </w:rPr>
      </w:pPr>
      <w:bookmarkStart w:id="16" w:name="_Toc16380"/>
      <w:r>
        <w:rPr>
          <w:rFonts w:hint="default"/>
        </w:rPr>
        <w:t>软件报废与归档</w:t>
      </w:r>
      <w:bookmarkEnd w:id="16"/>
    </w:p>
    <w:p w14:paraId="7090CF4C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报废条件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：授权到期、被替代或存在安全风险时，软件应报废。</w:t>
      </w:r>
    </w:p>
    <w:p w14:paraId="72FEAD6C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归档要求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：保留最后一个可用版本及授权文件，标记为“已归档”状态。</w:t>
      </w:r>
    </w:p>
    <w:p w14:paraId="7C09A6C7">
      <w:pPr>
        <w:pStyle w:val="30"/>
        <w:bidi w:val="0"/>
        <w:rPr>
          <w:rFonts w:hint="default"/>
        </w:rPr>
      </w:pPr>
      <w:bookmarkStart w:id="17" w:name="_Toc5284"/>
      <w:r>
        <w:rPr>
          <w:rFonts w:hint="default"/>
        </w:rPr>
        <w:t>监督与审计</w:t>
      </w:r>
      <w:bookmarkEnd w:id="17"/>
    </w:p>
    <w:p w14:paraId="2FFFDAE3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定期审计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：每季度检查软件使用情况，每年进行全公司软件资产盘点。</w:t>
      </w:r>
    </w:p>
    <w:p w14:paraId="186E1122">
      <w:pPr>
        <w:pStyle w:val="18"/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8" w:afterAutospacing="0" w:line="360" w:lineRule="auto"/>
        <w:ind w:left="0" w:right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Style w:val="23"/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违规处理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：</w:t>
      </w:r>
    </w:p>
    <w:p w14:paraId="3E2F2FB9">
      <w:pPr>
        <w:pStyle w:val="18"/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初次违规：警告并限期整改</w:t>
      </w:r>
    </w:p>
    <w:p w14:paraId="2AD10C6D">
      <w:pPr>
        <w:pStyle w:val="18"/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二次违规：限制软件使用权</w:t>
      </w:r>
    </w:p>
    <w:p w14:paraId="15C81070">
      <w:pPr>
        <w:pStyle w:val="18"/>
        <w:keepNext w:val="0"/>
        <w:keepLines w:val="0"/>
        <w:pageBreakBefore w:val="0"/>
        <w:widowControl w:val="0"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right="0" w:hanging="425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shd w:val="clear" w:color="auto" w:fill="FFFFFF"/>
        </w:rPr>
        <w:t>严重违规（如恶意破解）：纪律处分或法律追责</w:t>
      </w:r>
    </w:p>
    <w:p w14:paraId="04A4009E">
      <w:pPr>
        <w:pStyle w:val="28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8" w:name="_Toc7107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6"/>
        <w:tblW w:w="8310" w:type="dxa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54"/>
        <w:gridCol w:w="1764"/>
        <w:gridCol w:w="3612"/>
        <w:gridCol w:w="1068"/>
        <w:gridCol w:w="912"/>
      </w:tblGrid>
      <w:tr w14:paraId="1EBA1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54" w:type="dxa"/>
            <w:shd w:val="clear" w:color="auto" w:fill="C0C0C0"/>
            <w:vAlign w:val="center"/>
          </w:tcPr>
          <w:p w14:paraId="1C2987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764" w:type="dxa"/>
            <w:shd w:val="clear" w:color="auto" w:fill="C0C0C0"/>
            <w:vAlign w:val="center"/>
          </w:tcPr>
          <w:p w14:paraId="1B431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衡量指标</w:t>
            </w:r>
          </w:p>
        </w:tc>
        <w:tc>
          <w:tcPr>
            <w:tcW w:w="3612" w:type="dxa"/>
            <w:shd w:val="clear" w:color="auto" w:fill="C0C0C0"/>
            <w:vAlign w:val="center"/>
          </w:tcPr>
          <w:p w14:paraId="413D2C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4"/>
                <w:szCs w:val="24"/>
              </w:rPr>
              <w:t>指标计算说明</w:t>
            </w:r>
          </w:p>
        </w:tc>
        <w:tc>
          <w:tcPr>
            <w:tcW w:w="1068" w:type="dxa"/>
            <w:shd w:val="clear" w:color="auto" w:fill="C0C0C0"/>
            <w:vAlign w:val="center"/>
          </w:tcPr>
          <w:p w14:paraId="0C2D92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考核频次</w:t>
            </w:r>
          </w:p>
        </w:tc>
        <w:tc>
          <w:tcPr>
            <w:tcW w:w="912" w:type="dxa"/>
            <w:shd w:val="clear" w:color="auto" w:fill="C0C0C0"/>
            <w:vAlign w:val="center"/>
          </w:tcPr>
          <w:p w14:paraId="510BD2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5" w:line="221" w:lineRule="auto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24"/>
                <w:szCs w:val="24"/>
                <w:lang w:val="en-US" w:eastAsia="zh-CN"/>
              </w:rPr>
              <w:t>目标值</w:t>
            </w:r>
          </w:p>
        </w:tc>
      </w:tr>
      <w:tr w14:paraId="37A01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954" w:type="dxa"/>
            <w:shd w:val="clear" w:color="auto" w:fill="auto"/>
            <w:vAlign w:val="center"/>
          </w:tcPr>
          <w:p w14:paraId="097815D8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1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0C4EE663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最终软件库</w:t>
            </w:r>
          </w:p>
        </w:tc>
        <w:tc>
          <w:tcPr>
            <w:tcW w:w="3612" w:type="dxa"/>
            <w:shd w:val="clear" w:color="auto" w:fill="auto"/>
            <w:vAlign w:val="center"/>
          </w:tcPr>
          <w:p w14:paraId="35205178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版本正确软件数/软件总数*100%</w:t>
            </w:r>
          </w:p>
        </w:tc>
        <w:tc>
          <w:tcPr>
            <w:tcW w:w="1068" w:type="dxa"/>
          </w:tcPr>
          <w:p w14:paraId="1B3A69EE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</w:rPr>
              <w:t>按季度</w:t>
            </w:r>
          </w:p>
        </w:tc>
        <w:tc>
          <w:tcPr>
            <w:tcW w:w="912" w:type="dxa"/>
          </w:tcPr>
          <w:p w14:paraId="52FAF0DE">
            <w:pPr>
              <w:pStyle w:val="18"/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auto"/>
              <w:rPr>
                <w:rFonts w:hint="default" w:ascii="宋体" w:hAnsi="宋体" w:eastAsia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shd w:val="clear" w:color="auto" w:fill="FFFFFF"/>
                <w:lang w:val="en-US" w:eastAsia="zh-CN"/>
              </w:rPr>
              <w:t>≥95%</w:t>
            </w:r>
          </w:p>
        </w:tc>
      </w:tr>
    </w:tbl>
    <w:p w14:paraId="50FB5FBF">
      <w:pPr>
        <w:keepNext w:val="0"/>
        <w:keepLines w:val="0"/>
        <w:pageBreakBefore w:val="0"/>
        <w:widowControl w:val="0"/>
        <w:numPr>
          <w:ilvl w:val="0"/>
          <w:numId w:val="0"/>
        </w:numPr>
        <w:wordWrap/>
        <w:overflowPunct/>
        <w:topLinePunct w:val="0"/>
        <w:bidi w:val="0"/>
        <w:rPr>
          <w:rFonts w:hint="default"/>
          <w:lang w:val="en-US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6FBFD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1483B14"/>
    <w:multiLevelType w:val="singleLevel"/>
    <w:tmpl w:val="31483B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97B03FB"/>
    <w:multiLevelType w:val="singleLevel"/>
    <w:tmpl w:val="597B03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A3A04C2"/>
    <w:rsid w:val="1BB2104F"/>
    <w:rsid w:val="1C6E3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styleId="24">
    <w:name w:val="No Spacing"/>
    <w:qFormat/>
    <w:uiPriority w:val="99"/>
    <w:pPr>
      <w:adjustRightInd w:val="0"/>
      <w:snapToGrid w:val="0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Paragraph"/>
    <w:basedOn w:val="1"/>
    <w:qFormat/>
    <w:uiPriority w:val="1"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28">
    <w:name w:val="柴_标题1"/>
    <w:basedOn w:val="2"/>
    <w:next w:val="29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4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2030</Words>
  <Characters>2168</Characters>
  <Lines>0</Lines>
  <Paragraphs>0</Paragraphs>
  <TotalTime>0</TotalTime>
  <ScaleCrop>false</ScaleCrop>
  <LinksUpToDate>false</LinksUpToDate>
  <CharactersWithSpaces>2244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2025-08-03T07:55:00Z</dcterms:created>
  <dc:creator>18442</dc:creator>
  <cp:lastModifiedBy>郝宇</cp:lastModifiedBy>
  <dcterms:modified xsi:type="dcterms:W3CDTF">2026-02-10T07:11:42Z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8178A8AF70684A7D9FAAE4F331428A1A_12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