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A46A876">
      <w:pPr>
        <w:pStyle w:val="31"/>
        <w:bidi w:val="0"/>
      </w:pPr>
    </w:p>
    <w:p w14:paraId="7AC6F14B">
      <w:pPr>
        <w:pStyle w:val="31"/>
        <w:bidi w:val="0"/>
      </w:pPr>
    </w:p>
    <w:p w14:paraId="1FA4CA77">
      <w:pPr>
        <w:pStyle w:val="31"/>
        <w:bidi w:val="0"/>
      </w:pPr>
      <w:bookmarkStart w:id="0" w:name="_Toc5947"/>
      <w:r>
        <w:t>服务台应用提升情况说明</w:t>
      </w:r>
      <w:bookmarkEnd w:id="0"/>
    </w:p>
    <w:p w14:paraId="2FC731CD">
      <w:pPr>
        <w:pStyle w:val="32"/>
        <w:bidi w:val="0"/>
      </w:pPr>
      <w:bookmarkStart w:id="1" w:name="_Toc6298"/>
      <w:r>
        <w:t>中达丰集团有限公司</w:t>
      </w:r>
      <w:bookmarkEnd w:id="1"/>
    </w:p>
    <w:p w14:paraId="26FFAE23">
      <w:pPr>
        <w:spacing w:before="224" w:line="220" w:lineRule="auto"/>
        <w:ind w:left="2808"/>
        <w:rPr>
          <w:rFonts w:ascii="宋体" w:hAnsi="宋体" w:eastAsia="宋体" w:cs="宋体"/>
          <w:sz w:val="36"/>
          <w:szCs w:val="36"/>
        </w:rPr>
      </w:pPr>
      <w:r>
        <w:rPr>
          <w:rFonts w:ascii="宋体" w:hAnsi="宋体" w:eastAsia="宋体" w:cs="宋体"/>
          <w:spacing w:val="-10"/>
          <w:sz w:val="36"/>
          <w:szCs w:val="36"/>
        </w:rPr>
        <w:t>2025年</w:t>
      </w:r>
      <w:r>
        <w:rPr>
          <w:rFonts w:hint="eastAsia" w:ascii="宋体" w:hAnsi="宋体" w:eastAsia="宋体" w:cs="宋体"/>
          <w:spacing w:val="-10"/>
          <w:sz w:val="36"/>
          <w:szCs w:val="36"/>
          <w:lang w:val="en-US" w:eastAsia="zh-CN"/>
        </w:rPr>
        <w:t>1</w:t>
      </w:r>
      <w:r>
        <w:rPr>
          <w:rFonts w:hint="eastAsia" w:ascii="宋体" w:hAnsi="宋体" w:cs="宋体"/>
          <w:spacing w:val="-10"/>
          <w:sz w:val="36"/>
          <w:szCs w:val="36"/>
          <w:lang w:val="en-US" w:eastAsia="zh-CN"/>
        </w:rPr>
        <w:t>2</w:t>
      </w:r>
      <w:r>
        <w:rPr>
          <w:rFonts w:ascii="宋体" w:hAnsi="宋体" w:eastAsia="宋体" w:cs="宋体"/>
          <w:spacing w:val="-10"/>
          <w:sz w:val="36"/>
          <w:szCs w:val="36"/>
        </w:rPr>
        <w:t>月20日</w:t>
      </w:r>
    </w:p>
    <w:p w14:paraId="620B3FC7">
      <w:pPr>
        <w:spacing w:line="220" w:lineRule="auto"/>
        <w:rPr>
          <w:rFonts w:ascii="宋体" w:hAnsi="宋体" w:eastAsia="宋体" w:cs="宋体"/>
          <w:sz w:val="36"/>
          <w:szCs w:val="36"/>
        </w:rPr>
        <w:sectPr>
          <w:headerReference r:id="rId5" w:type="default"/>
          <w:pgSz w:w="11906" w:h="16839"/>
          <w:pgMar w:top="1097" w:right="1767" w:bottom="0" w:left="1768" w:header="1082" w:footer="0" w:gutter="0"/>
          <w:cols w:space="720" w:num="1"/>
        </w:sectPr>
      </w:pPr>
    </w:p>
    <w:p w14:paraId="49B44EC2">
      <w:pPr>
        <w:spacing w:before="91" w:line="220" w:lineRule="auto"/>
        <w:ind w:left="3778"/>
        <w:outlineLvl w:val="0"/>
        <w:rPr>
          <w:rFonts w:ascii="宋体" w:hAnsi="宋体" w:eastAsia="宋体" w:cs="宋体"/>
          <w:sz w:val="28"/>
          <w:szCs w:val="28"/>
        </w:rPr>
      </w:pPr>
      <w:bookmarkStart w:id="2" w:name="_Toc15737"/>
      <w:r>
        <w:rPr>
          <w:rFonts w:ascii="宋体" w:hAnsi="宋体" w:eastAsia="宋体" w:cs="宋体"/>
          <w:spacing w:val="-3"/>
          <w:sz w:val="28"/>
          <w:szCs w:val="28"/>
        </w:rPr>
        <w:t>文档信息</w:t>
      </w:r>
      <w:bookmarkEnd w:id="2"/>
    </w:p>
    <w:tbl>
      <w:tblPr>
        <w:tblStyle w:val="24"/>
        <w:tblW w:w="8639" w:type="dxa"/>
        <w:tblInd w:w="5"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1702"/>
        <w:gridCol w:w="1557"/>
        <w:gridCol w:w="2121"/>
        <w:gridCol w:w="1698"/>
        <w:gridCol w:w="1561"/>
      </w:tblGrid>
      <w:tr w14:paraId="2BD46FD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11" w:hRule="atLeast"/>
        </w:trPr>
        <w:tc>
          <w:tcPr>
            <w:tcW w:w="1702" w:type="dxa"/>
          </w:tcPr>
          <w:p w14:paraId="38DC8357">
            <w:pPr>
              <w:pStyle w:val="25"/>
              <w:spacing w:before="139" w:line="220" w:lineRule="auto"/>
              <w:ind w:left="224"/>
            </w:pPr>
            <w:r>
              <w:rPr>
                <w:spacing w:val="-2"/>
              </w:rPr>
              <w:t>文档名称编号</w:t>
            </w:r>
          </w:p>
        </w:tc>
        <w:tc>
          <w:tcPr>
            <w:tcW w:w="6937" w:type="dxa"/>
            <w:gridSpan w:val="4"/>
          </w:tcPr>
          <w:p w14:paraId="6514C4A2">
            <w:pPr>
              <w:pStyle w:val="25"/>
              <w:spacing w:before="139" w:line="220" w:lineRule="auto"/>
              <w:ind w:left="108"/>
            </w:pPr>
            <w:r>
              <w:rPr>
                <w:spacing w:val="-1"/>
              </w:rPr>
              <w:t>服务台应用提升情况说明</w:t>
            </w:r>
          </w:p>
        </w:tc>
      </w:tr>
      <w:tr w14:paraId="515A3E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2" w:type="dxa"/>
          </w:tcPr>
          <w:p w14:paraId="1F358646">
            <w:pPr>
              <w:pStyle w:val="25"/>
              <w:spacing w:before="136" w:line="220" w:lineRule="auto"/>
              <w:ind w:left="434"/>
            </w:pPr>
            <w:r>
              <w:rPr>
                <w:spacing w:val="-2"/>
              </w:rPr>
              <w:t>编制单位</w:t>
            </w:r>
          </w:p>
        </w:tc>
        <w:tc>
          <w:tcPr>
            <w:tcW w:w="6937" w:type="dxa"/>
            <w:gridSpan w:val="4"/>
          </w:tcPr>
          <w:p w14:paraId="584AB963">
            <w:pPr>
              <w:pStyle w:val="25"/>
              <w:spacing w:before="137" w:line="219" w:lineRule="auto"/>
              <w:ind w:left="108"/>
            </w:pPr>
            <w:r>
              <w:rPr>
                <w:spacing w:val="-1"/>
              </w:rPr>
              <w:t>中达丰集团有限公司</w:t>
            </w:r>
          </w:p>
        </w:tc>
      </w:tr>
      <w:tr w14:paraId="2F0D0B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606" w:hRule="atLeast"/>
        </w:trPr>
        <w:tc>
          <w:tcPr>
            <w:tcW w:w="1702" w:type="dxa"/>
          </w:tcPr>
          <w:p w14:paraId="7AA67726">
            <w:pPr>
              <w:pStyle w:val="25"/>
              <w:spacing w:before="139" w:line="219" w:lineRule="auto"/>
              <w:ind w:left="434"/>
            </w:pPr>
            <w:r>
              <w:rPr>
                <w:spacing w:val="-2"/>
              </w:rPr>
              <w:t>文档版本</w:t>
            </w:r>
          </w:p>
        </w:tc>
        <w:tc>
          <w:tcPr>
            <w:tcW w:w="1557" w:type="dxa"/>
          </w:tcPr>
          <w:p w14:paraId="12F8463B">
            <w:pPr>
              <w:pStyle w:val="25"/>
              <w:spacing w:before="139" w:line="219" w:lineRule="auto"/>
              <w:ind w:left="360"/>
            </w:pPr>
            <w:r>
              <w:rPr>
                <w:spacing w:val="-2"/>
              </w:rPr>
              <w:t>版本日期</w:t>
            </w:r>
          </w:p>
        </w:tc>
        <w:tc>
          <w:tcPr>
            <w:tcW w:w="2121" w:type="dxa"/>
          </w:tcPr>
          <w:p w14:paraId="453F9105">
            <w:pPr>
              <w:pStyle w:val="25"/>
              <w:spacing w:before="139" w:line="219" w:lineRule="auto"/>
              <w:ind w:left="645"/>
            </w:pPr>
            <w:r>
              <w:rPr>
                <w:spacing w:val="-2"/>
              </w:rPr>
              <w:t>版本说明</w:t>
            </w:r>
          </w:p>
        </w:tc>
        <w:tc>
          <w:tcPr>
            <w:tcW w:w="1698" w:type="dxa"/>
          </w:tcPr>
          <w:p w14:paraId="2AE1E0FE">
            <w:pPr>
              <w:pStyle w:val="25"/>
              <w:spacing w:before="139" w:line="220" w:lineRule="auto"/>
              <w:ind w:left="593"/>
            </w:pPr>
            <w:r>
              <w:rPr>
                <w:spacing w:val="-5"/>
              </w:rPr>
              <w:t>作</w:t>
            </w:r>
            <w:r>
              <w:rPr>
                <w:spacing w:val="9"/>
              </w:rPr>
              <w:t xml:space="preserve"> </w:t>
            </w:r>
            <w:r>
              <w:rPr>
                <w:spacing w:val="-5"/>
              </w:rPr>
              <w:t>者</w:t>
            </w:r>
          </w:p>
        </w:tc>
        <w:tc>
          <w:tcPr>
            <w:tcW w:w="1561" w:type="dxa"/>
          </w:tcPr>
          <w:p w14:paraId="4BEEB867">
            <w:pPr>
              <w:pStyle w:val="25"/>
              <w:spacing w:before="139" w:line="220" w:lineRule="auto"/>
              <w:ind w:left="586"/>
            </w:pPr>
            <w:r>
              <w:rPr>
                <w:spacing w:val="-5"/>
              </w:rPr>
              <w:t>审核</w:t>
            </w:r>
          </w:p>
        </w:tc>
      </w:tr>
      <w:tr w14:paraId="7DE1649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2" w:type="dxa"/>
          </w:tcPr>
          <w:p w14:paraId="188B76AE">
            <w:pPr>
              <w:pStyle w:val="25"/>
              <w:spacing w:before="104" w:line="239" w:lineRule="auto"/>
              <w:ind w:left="637"/>
            </w:pPr>
            <w:r>
              <w:rPr>
                <w:spacing w:val="-1"/>
              </w:rPr>
              <w:t>V1.0</w:t>
            </w:r>
          </w:p>
        </w:tc>
        <w:tc>
          <w:tcPr>
            <w:tcW w:w="1557" w:type="dxa"/>
          </w:tcPr>
          <w:p w14:paraId="04486928">
            <w:pPr>
              <w:pStyle w:val="25"/>
              <w:spacing w:before="104"/>
              <w:ind w:left="362"/>
              <w:rPr>
                <w:rFonts w:hint="eastAsia" w:eastAsia="宋体"/>
                <w:lang w:val="en-US" w:eastAsia="zh-CN"/>
              </w:rPr>
            </w:pPr>
            <w:r>
              <w:rPr>
                <w:spacing w:val="-2"/>
              </w:rPr>
              <w:t>2025-</w:t>
            </w:r>
            <w:r>
              <w:rPr>
                <w:rFonts w:hint="eastAsia"/>
                <w:spacing w:val="-2"/>
                <w:lang w:val="en-US" w:eastAsia="zh-CN"/>
              </w:rPr>
              <w:t>12</w:t>
            </w:r>
            <w:r>
              <w:rPr>
                <w:spacing w:val="-2"/>
              </w:rPr>
              <w:t>-2</w:t>
            </w:r>
            <w:r>
              <w:rPr>
                <w:rFonts w:hint="eastAsia"/>
                <w:spacing w:val="-2"/>
                <w:lang w:val="en-US" w:eastAsia="zh-CN"/>
              </w:rPr>
              <w:t>0</w:t>
            </w:r>
          </w:p>
        </w:tc>
        <w:tc>
          <w:tcPr>
            <w:tcW w:w="2121" w:type="dxa"/>
          </w:tcPr>
          <w:p w14:paraId="59DDB183">
            <w:pPr>
              <w:pStyle w:val="25"/>
              <w:spacing w:before="74" w:line="219" w:lineRule="auto"/>
              <w:ind w:left="647"/>
            </w:pPr>
            <w:r>
              <w:rPr>
                <w:spacing w:val="-3"/>
              </w:rPr>
              <w:t>发布版本</w:t>
            </w:r>
          </w:p>
        </w:tc>
        <w:tc>
          <w:tcPr>
            <w:tcW w:w="1698" w:type="dxa"/>
          </w:tcPr>
          <w:p w14:paraId="111C03DC">
            <w:pPr>
              <w:pStyle w:val="25"/>
              <w:spacing w:before="75" w:line="220" w:lineRule="auto"/>
              <w:ind w:left="550"/>
              <w:rPr>
                <w:rFonts w:hint="eastAsia" w:eastAsia="宋体"/>
                <w:lang w:val="en-US" w:eastAsia="zh-CN"/>
              </w:rPr>
            </w:pPr>
            <w:r>
              <w:rPr>
                <w:rFonts w:hint="eastAsia"/>
                <w:lang w:val="en-US" w:eastAsia="zh-CN"/>
              </w:rPr>
              <w:t>肖龙莽</w:t>
            </w:r>
          </w:p>
        </w:tc>
        <w:tc>
          <w:tcPr>
            <w:tcW w:w="1561" w:type="dxa"/>
          </w:tcPr>
          <w:p w14:paraId="7AA7C3C2">
            <w:pPr>
              <w:pStyle w:val="25"/>
              <w:spacing w:before="74" w:line="220" w:lineRule="auto"/>
              <w:ind w:left="476"/>
            </w:pPr>
            <w:r>
              <w:rPr>
                <w:spacing w:val="-3"/>
              </w:rPr>
              <w:t>吴向阳</w:t>
            </w:r>
          </w:p>
        </w:tc>
      </w:tr>
      <w:tr w14:paraId="1EF2AF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474" w:hRule="atLeast"/>
        </w:trPr>
        <w:tc>
          <w:tcPr>
            <w:tcW w:w="1702" w:type="dxa"/>
          </w:tcPr>
          <w:p w14:paraId="02DDC537">
            <w:pPr>
              <w:rPr>
                <w:rFonts w:ascii="Arial"/>
                <w:sz w:val="21"/>
              </w:rPr>
            </w:pPr>
          </w:p>
        </w:tc>
        <w:tc>
          <w:tcPr>
            <w:tcW w:w="1557" w:type="dxa"/>
          </w:tcPr>
          <w:p w14:paraId="416B11CC">
            <w:pPr>
              <w:rPr>
                <w:rFonts w:ascii="Arial"/>
                <w:sz w:val="21"/>
              </w:rPr>
            </w:pPr>
          </w:p>
        </w:tc>
        <w:tc>
          <w:tcPr>
            <w:tcW w:w="2121" w:type="dxa"/>
          </w:tcPr>
          <w:p w14:paraId="38A9B158">
            <w:pPr>
              <w:rPr>
                <w:rFonts w:ascii="Arial"/>
                <w:sz w:val="21"/>
              </w:rPr>
            </w:pPr>
          </w:p>
        </w:tc>
        <w:tc>
          <w:tcPr>
            <w:tcW w:w="1698" w:type="dxa"/>
          </w:tcPr>
          <w:p w14:paraId="7648901A">
            <w:pPr>
              <w:rPr>
                <w:rFonts w:ascii="Arial"/>
                <w:sz w:val="21"/>
              </w:rPr>
            </w:pPr>
          </w:p>
        </w:tc>
        <w:tc>
          <w:tcPr>
            <w:tcW w:w="1561" w:type="dxa"/>
          </w:tcPr>
          <w:p w14:paraId="05757B88">
            <w:pPr>
              <w:rPr>
                <w:rFonts w:ascii="Arial"/>
                <w:sz w:val="21"/>
              </w:rPr>
            </w:pPr>
          </w:p>
        </w:tc>
      </w:tr>
      <w:tr w14:paraId="73EB1D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28" w:hRule="atLeast"/>
        </w:trPr>
        <w:tc>
          <w:tcPr>
            <w:tcW w:w="1702" w:type="dxa"/>
          </w:tcPr>
          <w:p w14:paraId="23DF5C93">
            <w:pPr>
              <w:rPr>
                <w:rFonts w:ascii="Arial"/>
                <w:sz w:val="21"/>
              </w:rPr>
            </w:pPr>
          </w:p>
        </w:tc>
        <w:tc>
          <w:tcPr>
            <w:tcW w:w="1557" w:type="dxa"/>
          </w:tcPr>
          <w:p w14:paraId="6F9FB757">
            <w:pPr>
              <w:rPr>
                <w:rFonts w:ascii="Arial"/>
                <w:sz w:val="21"/>
              </w:rPr>
            </w:pPr>
          </w:p>
        </w:tc>
        <w:tc>
          <w:tcPr>
            <w:tcW w:w="2121" w:type="dxa"/>
          </w:tcPr>
          <w:p w14:paraId="4AE3EB73">
            <w:pPr>
              <w:rPr>
                <w:rFonts w:ascii="Arial"/>
                <w:sz w:val="21"/>
              </w:rPr>
            </w:pPr>
          </w:p>
        </w:tc>
        <w:tc>
          <w:tcPr>
            <w:tcW w:w="1698" w:type="dxa"/>
          </w:tcPr>
          <w:p w14:paraId="68CDDBEE">
            <w:pPr>
              <w:rPr>
                <w:rFonts w:ascii="Arial"/>
                <w:sz w:val="21"/>
              </w:rPr>
            </w:pPr>
          </w:p>
        </w:tc>
        <w:tc>
          <w:tcPr>
            <w:tcW w:w="1561" w:type="dxa"/>
          </w:tcPr>
          <w:p w14:paraId="121A2F84">
            <w:pPr>
              <w:rPr>
                <w:rFonts w:ascii="Arial"/>
                <w:sz w:val="21"/>
              </w:rPr>
            </w:pPr>
          </w:p>
        </w:tc>
      </w:tr>
      <w:tr w14:paraId="379786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trHeight w:val="589" w:hRule="atLeast"/>
        </w:trPr>
        <w:tc>
          <w:tcPr>
            <w:tcW w:w="1702" w:type="dxa"/>
          </w:tcPr>
          <w:p w14:paraId="3277ED5A">
            <w:pPr>
              <w:rPr>
                <w:rFonts w:ascii="Arial"/>
                <w:sz w:val="21"/>
              </w:rPr>
            </w:pPr>
          </w:p>
        </w:tc>
        <w:tc>
          <w:tcPr>
            <w:tcW w:w="1557" w:type="dxa"/>
          </w:tcPr>
          <w:p w14:paraId="4E6D2D4B">
            <w:pPr>
              <w:rPr>
                <w:rFonts w:ascii="Arial"/>
                <w:sz w:val="21"/>
              </w:rPr>
            </w:pPr>
          </w:p>
        </w:tc>
        <w:tc>
          <w:tcPr>
            <w:tcW w:w="2121" w:type="dxa"/>
          </w:tcPr>
          <w:p w14:paraId="5A84FE01">
            <w:pPr>
              <w:rPr>
                <w:rFonts w:ascii="Arial"/>
                <w:sz w:val="21"/>
              </w:rPr>
            </w:pPr>
          </w:p>
        </w:tc>
        <w:tc>
          <w:tcPr>
            <w:tcW w:w="1698" w:type="dxa"/>
          </w:tcPr>
          <w:p w14:paraId="76F4AA69">
            <w:pPr>
              <w:rPr>
                <w:rFonts w:ascii="Arial"/>
                <w:sz w:val="21"/>
              </w:rPr>
            </w:pPr>
          </w:p>
        </w:tc>
        <w:tc>
          <w:tcPr>
            <w:tcW w:w="1561" w:type="dxa"/>
          </w:tcPr>
          <w:p w14:paraId="30813B08">
            <w:pPr>
              <w:rPr>
                <w:rFonts w:ascii="Arial"/>
                <w:sz w:val="21"/>
              </w:rPr>
            </w:pPr>
          </w:p>
        </w:tc>
      </w:tr>
    </w:tbl>
    <w:p w14:paraId="74FD5CD1">
      <w:pPr>
        <w:pStyle w:val="12"/>
      </w:pPr>
    </w:p>
    <w:p w14:paraId="5EDDCB3E">
      <w:pPr>
        <w:sectPr>
          <w:headerReference r:id="rId6" w:type="default"/>
          <w:pgSz w:w="11906" w:h="16839"/>
          <w:pgMar w:top="1097" w:right="1627" w:bottom="0" w:left="1628" w:header="1082" w:footer="0" w:gutter="0"/>
          <w:cols w:space="720" w:num="1"/>
        </w:sectPr>
      </w:pPr>
    </w:p>
    <w:sdt>
      <w:sdtPr>
        <w:rPr>
          <w:rFonts w:ascii="宋体" w:hAnsi="宋体" w:eastAsia="宋体" w:cs="Arial"/>
          <w:snapToGrid w:val="0"/>
          <w:color w:val="000000"/>
          <w:kern w:val="0"/>
          <w:sz w:val="21"/>
          <w:szCs w:val="21"/>
          <w:lang w:val="en-US" w:eastAsia="en-US" w:bidi="ar-SA"/>
        </w:rPr>
        <w:id w:val="147467022"/>
        <w:docPartObj>
          <w:docPartGallery w:val="Table of Contents"/>
          <w:docPartUnique/>
        </w:docPartObj>
      </w:sdtPr>
      <w:sdtEndPr>
        <w:rPr>
          <w:rFonts w:ascii="Cambria" w:hAnsi="Cambria" w:eastAsia="Cambria" w:cs="Cambria"/>
          <w:snapToGrid w:val="0"/>
          <w:color w:val="000000"/>
          <w:kern w:val="0"/>
          <w:sz w:val="21"/>
          <w:szCs w:val="24"/>
          <w:lang w:val="en-US" w:eastAsia="en-US" w:bidi="ar-SA"/>
        </w:rPr>
      </w:sdtEndPr>
      <w:sdtContent>
        <w:p w14:paraId="274CC381">
          <w:pPr>
            <w:spacing w:before="0" w:beforeLines="0" w:after="0" w:afterLines="0" w:line="240" w:lineRule="auto"/>
            <w:ind w:left="0" w:leftChars="0" w:right="0" w:rightChars="0" w:firstLine="0" w:firstLineChars="0"/>
            <w:jc w:val="center"/>
            <w:rPr>
              <w:rFonts w:hint="eastAsia" w:ascii="Microsoft JhengHei" w:hAnsi="Microsoft JhengHei" w:eastAsia="Microsoft JhengHei" w:cs="Microsoft JhengHei"/>
              <w:sz w:val="24"/>
              <w:szCs w:val="24"/>
            </w:rPr>
          </w:pPr>
          <w:r>
            <w:rPr>
              <w:rFonts w:hint="eastAsia" w:ascii="Microsoft JhengHei" w:hAnsi="Microsoft JhengHei" w:eastAsia="Microsoft JhengHei" w:cs="Microsoft JhengHei"/>
              <w:sz w:val="24"/>
              <w:szCs w:val="24"/>
            </w:rPr>
            <w:t>目录</w:t>
          </w:r>
        </w:p>
        <w:p w14:paraId="453B6BEC">
          <w:pPr>
            <w:pStyle w:val="16"/>
            <w:tabs>
              <w:tab w:val="right" w:leader="dot" w:pos="9724"/>
            </w:tabs>
          </w:pPr>
          <w:bookmarkStart w:id="9" w:name="_GoBack"/>
          <w:bookmarkEnd w:id="9"/>
          <w:r>
            <w:rPr>
              <w:rFonts w:hint="eastAsia" w:ascii="Microsoft JhengHei" w:hAnsi="Microsoft JhengHei" w:eastAsia="Microsoft JhengHei" w:cs="Microsoft JhengHei"/>
              <w:sz w:val="24"/>
              <w:szCs w:val="24"/>
            </w:rPr>
            <w:fldChar w:fldCharType="begin"/>
          </w:r>
          <w:r>
            <w:rPr>
              <w:rFonts w:hint="eastAsia" w:ascii="Microsoft JhengHei" w:hAnsi="Microsoft JhengHei" w:eastAsia="Microsoft JhengHei" w:cs="Microsoft JhengHei"/>
              <w:sz w:val="24"/>
              <w:szCs w:val="24"/>
            </w:rPr>
            <w:instrText xml:space="preserve">TOC \o "1-3" \h \u </w:instrText>
          </w:r>
          <w:r>
            <w:rPr>
              <w:rFonts w:hint="eastAsia" w:ascii="Microsoft JhengHei" w:hAnsi="Microsoft JhengHei" w:eastAsia="Microsoft JhengHei" w:cs="Microsoft JhengHei"/>
              <w:sz w:val="24"/>
              <w:szCs w:val="24"/>
            </w:rPr>
            <w:fldChar w:fldCharType="separate"/>
          </w: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_Toc5947 </w:instrText>
          </w:r>
          <w:r>
            <w:rPr>
              <w:rFonts w:hint="eastAsia" w:ascii="Microsoft JhengHei" w:hAnsi="Microsoft JhengHei" w:eastAsia="Microsoft JhengHei" w:cs="Microsoft JhengHei"/>
              <w:szCs w:val="24"/>
            </w:rPr>
            <w:fldChar w:fldCharType="separate"/>
          </w:r>
          <w:r>
            <w:t>服务台应用提升情况说明</w:t>
          </w:r>
          <w:r>
            <w:tab/>
          </w:r>
          <w:r>
            <w:fldChar w:fldCharType="begin"/>
          </w:r>
          <w:r>
            <w:instrText xml:space="preserve"> PAGEREF _Toc5947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2C028D7B">
          <w:pPr>
            <w:pStyle w:val="16"/>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_Toc6298 </w:instrText>
          </w:r>
          <w:r>
            <w:rPr>
              <w:rFonts w:hint="eastAsia" w:ascii="Microsoft JhengHei" w:hAnsi="Microsoft JhengHei" w:eastAsia="Microsoft JhengHei" w:cs="Microsoft JhengHei"/>
              <w:szCs w:val="24"/>
            </w:rPr>
            <w:fldChar w:fldCharType="separate"/>
          </w:r>
          <w:r>
            <w:t>中达丰集团有限公司</w:t>
          </w:r>
          <w:r>
            <w:tab/>
          </w:r>
          <w:r>
            <w:fldChar w:fldCharType="begin"/>
          </w:r>
          <w:r>
            <w:instrText xml:space="preserve"> PAGEREF _Toc6298 \h </w:instrText>
          </w:r>
          <w:r>
            <w:fldChar w:fldCharType="separate"/>
          </w:r>
          <w:r>
            <w:t>1</w:t>
          </w:r>
          <w:r>
            <w:fldChar w:fldCharType="end"/>
          </w:r>
          <w:r>
            <w:rPr>
              <w:rFonts w:hint="eastAsia" w:ascii="Microsoft JhengHei" w:hAnsi="Microsoft JhengHei" w:eastAsia="Microsoft JhengHei" w:cs="Microsoft JhengHei"/>
              <w:szCs w:val="24"/>
            </w:rPr>
            <w:fldChar w:fldCharType="end"/>
          </w:r>
        </w:p>
        <w:p w14:paraId="3A16DEE9">
          <w:pPr>
            <w:pStyle w:val="16"/>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_Toc15737 </w:instrText>
          </w:r>
          <w:r>
            <w:rPr>
              <w:rFonts w:hint="eastAsia" w:ascii="Microsoft JhengHei" w:hAnsi="Microsoft JhengHei" w:eastAsia="Microsoft JhengHei" w:cs="Microsoft JhengHei"/>
              <w:szCs w:val="24"/>
            </w:rPr>
            <w:fldChar w:fldCharType="separate"/>
          </w:r>
          <w:r>
            <w:rPr>
              <w:rFonts w:ascii="宋体" w:hAnsi="宋体" w:eastAsia="宋体" w:cs="宋体"/>
              <w:spacing w:val="-3"/>
              <w:szCs w:val="28"/>
            </w:rPr>
            <w:t>文档信息</w:t>
          </w:r>
          <w:r>
            <w:tab/>
          </w:r>
          <w:r>
            <w:fldChar w:fldCharType="begin"/>
          </w:r>
          <w:r>
            <w:instrText xml:space="preserve"> PAGEREF _Toc15737 \h </w:instrText>
          </w:r>
          <w:r>
            <w:fldChar w:fldCharType="separate"/>
          </w:r>
          <w:r>
            <w:t>2</w:t>
          </w:r>
          <w:r>
            <w:fldChar w:fldCharType="end"/>
          </w:r>
          <w:r>
            <w:rPr>
              <w:rFonts w:hint="eastAsia" w:ascii="Microsoft JhengHei" w:hAnsi="Microsoft JhengHei" w:eastAsia="Microsoft JhengHei" w:cs="Microsoft JhengHei"/>
              <w:szCs w:val="24"/>
            </w:rPr>
            <w:fldChar w:fldCharType="end"/>
          </w:r>
        </w:p>
        <w:p w14:paraId="4E4FE8F7">
          <w:pPr>
            <w:pStyle w:val="16"/>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_Toc12696 </w:instrText>
          </w:r>
          <w:r>
            <w:rPr>
              <w:rFonts w:hint="eastAsia" w:ascii="Microsoft JhengHei" w:hAnsi="Microsoft JhengHei" w:eastAsia="Microsoft JhengHei" w:cs="Microsoft JhengHei"/>
              <w:szCs w:val="24"/>
            </w:rPr>
            <w:fldChar w:fldCharType="separate"/>
          </w:r>
          <w:r>
            <w:rPr>
              <w:rFonts w:hint="default"/>
            </w:rPr>
            <w:t xml:space="preserve">1. </w:t>
          </w:r>
          <w:r>
            <w:t>服务台概况</w:t>
          </w:r>
          <w:r>
            <w:tab/>
          </w:r>
          <w:r>
            <w:fldChar w:fldCharType="begin"/>
          </w:r>
          <w:r>
            <w:instrText xml:space="preserve"> PAGEREF _Toc12696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5BFD282C">
          <w:pPr>
            <w:pStyle w:val="16"/>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_Toc21491 </w:instrText>
          </w:r>
          <w:r>
            <w:rPr>
              <w:rFonts w:hint="eastAsia" w:ascii="Microsoft JhengHei" w:hAnsi="Microsoft JhengHei" w:eastAsia="Microsoft JhengHei" w:cs="Microsoft JhengHei"/>
              <w:szCs w:val="24"/>
            </w:rPr>
            <w:fldChar w:fldCharType="separate"/>
          </w:r>
          <w:r>
            <w:rPr>
              <w:rFonts w:hint="default"/>
            </w:rPr>
            <w:t xml:space="preserve">2. </w:t>
          </w:r>
          <w:r>
            <w:t>严格要求服务台工作</w:t>
          </w:r>
          <w:r>
            <w:tab/>
          </w:r>
          <w:r>
            <w:fldChar w:fldCharType="begin"/>
          </w:r>
          <w:r>
            <w:instrText xml:space="preserve"> PAGEREF _Toc21491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2B71932">
          <w:pPr>
            <w:pStyle w:val="17"/>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_Toc15336 </w:instrText>
          </w:r>
          <w:r>
            <w:rPr>
              <w:rFonts w:hint="eastAsia" w:ascii="Microsoft JhengHei" w:hAnsi="Microsoft JhengHei" w:eastAsia="Microsoft JhengHei" w:cs="Microsoft JhengHei"/>
              <w:szCs w:val="24"/>
            </w:rPr>
            <w:fldChar w:fldCharType="separate"/>
          </w:r>
          <w:r>
            <w:rPr>
              <w:rFonts w:hint="default"/>
            </w:rPr>
            <w:t xml:space="preserve">2.1. </w:t>
          </w:r>
          <w:r>
            <w:t>提升服务台工作效率</w:t>
          </w:r>
          <w:r>
            <w:tab/>
          </w:r>
          <w:r>
            <w:fldChar w:fldCharType="begin"/>
          </w:r>
          <w:r>
            <w:instrText xml:space="preserve"> PAGEREF _Toc15336 \h </w:instrText>
          </w:r>
          <w:r>
            <w:fldChar w:fldCharType="separate"/>
          </w:r>
          <w:r>
            <w:t>4</w:t>
          </w:r>
          <w:r>
            <w:fldChar w:fldCharType="end"/>
          </w:r>
          <w:r>
            <w:rPr>
              <w:rFonts w:hint="eastAsia" w:ascii="Microsoft JhengHei" w:hAnsi="Microsoft JhengHei" w:eastAsia="Microsoft JhengHei" w:cs="Microsoft JhengHei"/>
              <w:szCs w:val="24"/>
            </w:rPr>
            <w:fldChar w:fldCharType="end"/>
          </w:r>
        </w:p>
        <w:p w14:paraId="053C0231">
          <w:pPr>
            <w:pStyle w:val="17"/>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_Toc30060 </w:instrText>
          </w:r>
          <w:r>
            <w:rPr>
              <w:rFonts w:hint="eastAsia" w:ascii="Microsoft JhengHei" w:hAnsi="Microsoft JhengHei" w:eastAsia="Microsoft JhengHei" w:cs="Microsoft JhengHei"/>
              <w:szCs w:val="24"/>
            </w:rPr>
            <w:fldChar w:fldCharType="separate"/>
          </w:r>
          <w:r>
            <w:rPr>
              <w:rFonts w:hint="default"/>
            </w:rPr>
            <w:t xml:space="preserve">2.2. </w:t>
          </w:r>
          <w:r>
            <w:t>服务台</w:t>
          </w:r>
          <w:r>
            <w:rPr>
              <w:rFonts w:hint="eastAsia"/>
              <w:lang w:val="en-US" w:eastAsia="zh-CN"/>
            </w:rPr>
            <w:t>指标完成情况</w:t>
          </w:r>
          <w:r>
            <w:tab/>
          </w:r>
          <w:r>
            <w:fldChar w:fldCharType="begin"/>
          </w:r>
          <w:r>
            <w:instrText xml:space="preserve"> PAGEREF _Toc30060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58399C6">
          <w:pPr>
            <w:pStyle w:val="16"/>
            <w:tabs>
              <w:tab w:val="right" w:leader="dot" w:pos="9724"/>
            </w:tabs>
          </w:pPr>
          <w:r>
            <w:rPr>
              <w:rFonts w:hint="eastAsia" w:ascii="Microsoft JhengHei" w:hAnsi="Microsoft JhengHei" w:eastAsia="Microsoft JhengHei" w:cs="Microsoft JhengHei"/>
              <w:szCs w:val="24"/>
            </w:rPr>
            <w:fldChar w:fldCharType="begin"/>
          </w:r>
          <w:r>
            <w:rPr>
              <w:rFonts w:hint="eastAsia" w:ascii="Microsoft JhengHei" w:hAnsi="Microsoft JhengHei" w:eastAsia="Microsoft JhengHei" w:cs="Microsoft JhengHei"/>
              <w:szCs w:val="24"/>
            </w:rPr>
            <w:instrText xml:space="preserve"> HYPERLINK \l _Toc6506 </w:instrText>
          </w:r>
          <w:r>
            <w:rPr>
              <w:rFonts w:hint="eastAsia" w:ascii="Microsoft JhengHei" w:hAnsi="Microsoft JhengHei" w:eastAsia="Microsoft JhengHei" w:cs="Microsoft JhengHei"/>
              <w:szCs w:val="24"/>
            </w:rPr>
            <w:fldChar w:fldCharType="separate"/>
          </w:r>
          <w:r>
            <w:rPr>
              <w:rFonts w:hint="default"/>
              <w:lang w:val="en-US" w:eastAsia="zh-CN"/>
            </w:rPr>
            <w:t xml:space="preserve">3. </w:t>
          </w:r>
          <w:r>
            <w:rPr>
              <w:rFonts w:hint="eastAsia"/>
              <w:lang w:val="en-US" w:eastAsia="zh-CN"/>
            </w:rPr>
            <w:t>总结</w:t>
          </w:r>
          <w:r>
            <w:tab/>
          </w:r>
          <w:r>
            <w:fldChar w:fldCharType="begin"/>
          </w:r>
          <w:r>
            <w:instrText xml:space="preserve"> PAGEREF _Toc6506 \h </w:instrText>
          </w:r>
          <w:r>
            <w:fldChar w:fldCharType="separate"/>
          </w:r>
          <w:r>
            <w:t>5</w:t>
          </w:r>
          <w:r>
            <w:fldChar w:fldCharType="end"/>
          </w:r>
          <w:r>
            <w:rPr>
              <w:rFonts w:hint="eastAsia" w:ascii="Microsoft JhengHei" w:hAnsi="Microsoft JhengHei" w:eastAsia="Microsoft JhengHei" w:cs="Microsoft JhengHei"/>
              <w:szCs w:val="24"/>
            </w:rPr>
            <w:fldChar w:fldCharType="end"/>
          </w:r>
        </w:p>
        <w:p w14:paraId="5B534003">
          <w:pPr>
            <w:spacing w:line="220" w:lineRule="auto"/>
            <w:rPr>
              <w:rFonts w:ascii="Cambria" w:hAnsi="Cambria" w:eastAsia="Cambria" w:cs="Cambria"/>
              <w:snapToGrid w:val="0"/>
              <w:color w:val="000000"/>
              <w:kern w:val="0"/>
              <w:sz w:val="21"/>
              <w:szCs w:val="24"/>
              <w:lang w:val="en-US" w:eastAsia="en-US" w:bidi="ar-SA"/>
            </w:rPr>
          </w:pPr>
          <w:r>
            <w:rPr>
              <w:rFonts w:hint="eastAsia" w:ascii="Microsoft JhengHei" w:hAnsi="Microsoft JhengHei" w:eastAsia="Microsoft JhengHei" w:cs="Microsoft JhengHei"/>
              <w:szCs w:val="24"/>
            </w:rPr>
            <w:fldChar w:fldCharType="end"/>
          </w:r>
        </w:p>
      </w:sdtContent>
    </w:sdt>
    <w:p w14:paraId="10C80334">
      <w:pPr>
        <w:spacing w:line="220" w:lineRule="auto"/>
        <w:rPr>
          <w:rFonts w:ascii="Cambria" w:hAnsi="Cambria" w:eastAsia="Cambria" w:cs="Cambria"/>
          <w:snapToGrid w:val="0"/>
          <w:color w:val="000000"/>
          <w:kern w:val="0"/>
          <w:sz w:val="21"/>
          <w:szCs w:val="24"/>
          <w:lang w:val="en-US" w:eastAsia="en-US" w:bidi="ar-SA"/>
        </w:rPr>
        <w:sectPr>
          <w:headerReference r:id="rId7" w:type="default"/>
          <w:footerReference r:id="rId8" w:type="default"/>
          <w:pgSz w:w="11906" w:h="16839"/>
          <w:pgMar w:top="1660" w:right="1090" w:bottom="1157" w:left="1092" w:header="0" w:footer="990" w:gutter="0"/>
          <w:cols w:space="720" w:num="1"/>
        </w:sectPr>
      </w:pPr>
    </w:p>
    <w:p w14:paraId="49DE68D7">
      <w:pPr>
        <w:pStyle w:val="26"/>
        <w:bidi w:val="0"/>
      </w:pPr>
      <w:bookmarkStart w:id="3" w:name="bookmark1"/>
      <w:bookmarkEnd w:id="3"/>
      <w:bookmarkStart w:id="4" w:name="_Toc12696"/>
      <w:r>
        <w:t>服务台概况</w:t>
      </w:r>
      <w:bookmarkEnd w:id="4"/>
    </w:p>
    <w:p w14:paraId="2BAAE72D">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服务台是与客户进行沟通和提供服务的重要途径之一，更是未来实现公司业绩成长的重要渠道。所以为了提高客服水平，特制定服务台运行服务管理制度，对所提供服务的产品或业务，交付和交付后的活动进行管理，将客户问题记录到《问题反馈单》，为客户提供专业化和规范化的服务。</w:t>
      </w:r>
    </w:p>
    <w:p w14:paraId="4DBDFA50">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公司设置统一对外服务电话，设置专职客户专员担任服务台，实现5*8小时的电话接听，并在其他时间转接到服务台的手机，达到7*24小时的远程服务支持。</w:t>
      </w:r>
    </w:p>
    <w:p w14:paraId="0E67F82E">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服务台的基本功能是接收用户的各类使用问题请求，并在规定时间内为用户直接远程解决相关问题，如遇复杂问题则转交二线支持，同时还需跟踪解决情况并及时反馈以便最终解决用户问题。在此基础上，服务台还要对服务过程和结果进行记录，以便分析总结，提高问题解决速度，保证服务SLA的达成。</w:t>
      </w:r>
    </w:p>
    <w:p w14:paraId="4427CDF3">
      <w:pPr>
        <w:pStyle w:val="26"/>
        <w:bidi w:val="0"/>
      </w:pPr>
      <w:bookmarkStart w:id="5" w:name="_Toc21491"/>
      <w:r>
        <w:t>严格要求服务台工作</w:t>
      </w:r>
      <w:bookmarkEnd w:id="5"/>
    </w:p>
    <w:p w14:paraId="717C8D4A">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通过严格执行《服务台操作手册》、《服务台管理制度》明确客服的操作职责，结合公司往年的运行情况，2025年4月至2026年3月服务台录入事件的完整性目标值要求需达到95%。</w:t>
      </w:r>
    </w:p>
    <w:p w14:paraId="65426A8C">
      <w:pPr>
        <w:pStyle w:val="28"/>
        <w:bidi w:val="0"/>
      </w:pPr>
      <w:bookmarkStart w:id="6" w:name="_Toc15336"/>
      <w:r>
        <w:t>提升服务台工作效率</w:t>
      </w:r>
      <w:bookmarkEnd w:id="6"/>
    </w:p>
    <w:p w14:paraId="220AB178">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实现运维服务入口的统一，并达到服务台的标准化和规范化:所有运维请求，都需通过服务台，由服务台首先接单，然后统一分派人员解决问题，使服务台成为真正的唯一联系点，方便为客户提供服务。通过建立服务台规范和制度，明确服务台的首问责任制，并采取标准化用语和处理流程，大幅提升服务台的规范化和标准化，提升公司的服务形象。</w:t>
      </w:r>
    </w:p>
    <w:p w14:paraId="73BD13EE">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实现服务水平协议(SLA)的标准化管理:在运维项目立项或签订合同时，就与用户商定好各类故障和问题的不同级别和响应时间，根据服务级别来有序解决。在明确双方要求的基础上，大幅提高客户满意度，并为运维团队提供考核依据。</w:t>
      </w:r>
    </w:p>
    <w:p w14:paraId="0B17F290">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随着运维项目的增加，客户需求与问题增多，为提升服务效率，增加坐席人员。实现流程、运维软件和人员的集成:服务台承担起监控管理和主动改善IT现状的职责，结合运维管理平台实现整个运维过程的可视化和可追溯管理。在运维管理平台的辅助下，结合服务台记录的数据和专家团队的经验可快速给出服务台运营报告，并提出改进建议，避免常见问题重复发生，主动防患运维风险，使运维服务变被动为主动改善。</w:t>
      </w:r>
    </w:p>
    <w:p w14:paraId="435AE774">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总体来说，服务台首先实现统一规范管理并同时处理大量的服务请求，避免了因找不到特定技术人员而耽误时间，降低运营成本;其次通过对服务台的管理，结合建立服务知识，明确服务人员绩效考核等。</w:t>
      </w:r>
    </w:p>
    <w:p w14:paraId="42CFA5C7">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实现运维服务入口的统一，并达到服务台的标准化和规范化:所有运维请求，都需通过服务台，由服务台首先接单，然后统一分派人员解决问题，使服务台成为真正的唯一联系点，方便为客户提供服务。</w:t>
      </w:r>
    </w:p>
    <w:p w14:paraId="5093E988">
      <w:pPr>
        <w:pStyle w:val="28"/>
        <w:bidi w:val="0"/>
      </w:pPr>
      <w:bookmarkStart w:id="7" w:name="_Toc30060"/>
      <w:r>
        <w:t>服务台</w:t>
      </w:r>
      <w:r>
        <w:rPr>
          <w:rFonts w:hint="eastAsia"/>
          <w:lang w:val="en-US" w:eastAsia="zh-CN"/>
        </w:rPr>
        <w:t>指标完成情况</w:t>
      </w:r>
      <w:bookmarkEnd w:id="7"/>
    </w:p>
    <w:p w14:paraId="2B0ADCC6">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由于实现了服务台的标准化及制度化，并将运维人员分级管理，方便服务台人员对派单，因此服务台录入事件的完整率逐年提升，2025年设定的目标均为95%，经过2025年4月至2025年12月季度KPI跟踪，2025年第二、三和四季度服务台录入事件的完整率均达到100%。</w:t>
      </w:r>
    </w:p>
    <w:p w14:paraId="3947FA59">
      <w:pPr>
        <w:pStyle w:val="26"/>
        <w:bidi w:val="0"/>
        <w:rPr>
          <w:rFonts w:hint="eastAsia"/>
          <w:lang w:val="en-US" w:eastAsia="zh-CN"/>
        </w:rPr>
      </w:pPr>
      <w:bookmarkStart w:id="8" w:name="_Toc6506"/>
      <w:r>
        <w:rPr>
          <w:rFonts w:hint="eastAsia"/>
          <w:lang w:val="en-US" w:eastAsia="zh-CN"/>
        </w:rPr>
        <w:t>总结</w:t>
      </w:r>
      <w:bookmarkEnd w:id="8"/>
    </w:p>
    <w:p w14:paraId="7A7999D9">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560" w:firstLineChars="200"/>
        <w:jc w:val="left"/>
        <w:textAlignment w:val="baseline"/>
        <w:rPr>
          <w:rFonts w:hint="eastAsia" w:ascii="宋体" w:hAnsi="宋体" w:cs="宋体"/>
          <w:sz w:val="28"/>
          <w:szCs w:val="28"/>
          <w:lang w:val="en-US" w:eastAsia="zh-CN"/>
        </w:rPr>
      </w:pPr>
      <w:r>
        <w:rPr>
          <w:rFonts w:hint="eastAsia" w:ascii="宋体" w:hAnsi="宋体" w:cs="宋体"/>
          <w:sz w:val="28"/>
          <w:szCs w:val="28"/>
          <w:lang w:val="en-US" w:eastAsia="zh-CN"/>
        </w:rPr>
        <w:t>截止2025年12月，公司服务台在“服务台录入事件完整性”这一关键绩效指标上表现优异，不仅稳定达成年度目标，更实现了100%的完整记录，为运维服务的标准化、规范化管理奠定了坚实的数据基础，有效支撑了服务级别协议（SLA）的达成与客户满意度的提升。</w:t>
      </w:r>
    </w:p>
    <w:sectPr>
      <w:headerReference r:id="rId9" w:type="default"/>
      <w:footerReference r:id="rId10" w:type="default"/>
      <w:pgSz w:w="11906" w:h="16839"/>
      <w:pgMar w:top="1240" w:right="1305" w:bottom="885" w:left="1088" w:header="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Cambria">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D1B71A">
    <w:pPr>
      <w:spacing w:line="178" w:lineRule="auto"/>
      <w:ind w:left="4822"/>
      <w:rPr>
        <w:rFonts w:ascii="Cambria" w:hAnsi="Cambria" w:eastAsia="Cambria" w:cs="Cambria"/>
        <w:sz w:val="18"/>
        <w:szCs w:val="18"/>
      </w:rPr>
    </w:pPr>
    <w:r>
      <w:rPr>
        <w:rFonts w:ascii="Cambria" w:hAnsi="Cambria" w:eastAsia="Cambria" w:cs="Cambria"/>
        <w:sz w:val="18"/>
        <w:szCs w:val="18"/>
      </w:rPr>
      <w:t>2</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2A76F8">
    <w:pPr>
      <w:spacing w:line="177" w:lineRule="auto"/>
      <w:ind w:left="4827"/>
      <w:rPr>
        <w:rFonts w:ascii="Cambria" w:hAnsi="Cambria" w:eastAsia="Cambria" w:cs="Cambria"/>
        <w:sz w:val="18"/>
        <w:szCs w:val="18"/>
      </w:rPr>
    </w:pPr>
    <w:r>
      <w:rPr>
        <w:rFonts w:ascii="Cambria" w:hAnsi="Cambria" w:eastAsia="Cambria" w:cs="Cambria"/>
        <w:sz w:val="18"/>
        <w:szCs w:val="18"/>
      </w:rPr>
      <w:t>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103DF7">
    <w:pPr>
      <w:pStyle w:val="12"/>
      <w:spacing w:line="52" w:lineRule="auto"/>
      <w:rPr>
        <w:sz w:val="2"/>
      </w:rPr>
    </w:pPr>
    <w:r>
      <w:pict>
        <v:shape id="_x0000_s4097" o:spid="_x0000_s4097" style="position:absolute;left:0pt;margin-left:88.4pt;margin-top:54.1pt;height:0.75pt;width:418.5pt;mso-position-horizontal-relative:page;mso-position-vertical-relative:page;z-index:251659264;mso-width-relative:page;mso-height-relative:page;" filled="f" stroked="t" coordsize="8370,15" o:allowincell="f" path="m0,7l8369,7e">
          <v:fill on="f" focussize="0,0"/>
          <v:stroke joinstyle="miter"/>
          <v:imagedata o:title=""/>
          <o:lock v:ext="edit"/>
        </v:shape>
      </w:pic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FF651A">
    <w:pPr>
      <w:pStyle w:val="12"/>
      <w:spacing w:line="52" w:lineRule="auto"/>
      <w:rPr>
        <w:sz w:val="2"/>
      </w:rPr>
    </w:pPr>
    <w:r>
      <w:pict>
        <v:shape id="_x0000_s4098" o:spid="_x0000_s4098" style="position:absolute;left:0pt;margin-left:88.4pt;margin-top:54.1pt;height:0.75pt;width:418.5pt;mso-position-horizontal-relative:page;mso-position-vertical-relative:page;z-index:251660288;mso-width-relative:page;mso-height-relative:page;" filled="f" stroked="t" coordsize="8370,15" o:allowincell="f" path="m0,7l8369,7e">
          <v:fill on="f" focussize="0,0"/>
          <v:stroke joinstyle="miter"/>
          <v:imagedata o:title=""/>
          <o:lock v:ext="edit"/>
        </v:shape>
      </w:pic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A7F0D3">
    <w:pPr>
      <w:pStyle w:val="12"/>
      <w:spacing w:line="14" w:lineRule="auto"/>
      <w:rPr>
        <w:sz w:val="2"/>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9B750F">
    <w:pPr>
      <w:pStyle w:val="12"/>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isplayBackgroundShape w:val="1"/>
  <w:doNotTrackMoves/>
  <w:documentProtection w:enforcement="0"/>
  <w:defaultTabStop w:val="720"/>
  <w:characterSpacingControl w:val="doNotCompress"/>
  <w:hdrShapeDefaults>
    <o:shapelayout v:ext="edit">
      <o:idmap v:ext="edit" data="3,4"/>
    </o:shapelayout>
  </w:hdrShapeDefaults>
  <w:footnotePr>
    <w:footnote w:id="0"/>
    <w:footnote w:id="1"/>
  </w:footnotePr>
  <w:endnotePr>
    <w:endnote w:id="0"/>
    <w:endnote w:id="1"/>
  </w:endnotePr>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52925FE"/>
    <w:rsid w:val="0FB12724"/>
    <w:rsid w:val="10401F77"/>
    <w:rsid w:val="18F2402A"/>
    <w:rsid w:val="1EF2077B"/>
    <w:rsid w:val="4F5B7244"/>
    <w:rsid w:val="64086924"/>
    <w:rsid w:val="65063E3A"/>
    <w:rsid w:val="659A2704"/>
    <w:rsid w:val="6E970129"/>
    <w:rsid w:val="7F374D48"/>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Arial" w:hAnsi="Arial" w:eastAsia="Arial"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table" w:customStyle="1" w:styleId="24">
    <w:name w:val="Table Normal_0"/>
    <w:semiHidden/>
    <w:unhideWhenUsed/>
    <w:qFormat/>
    <w:uiPriority w:val="0"/>
    <w:tblPr>
      <w:tblCellMar>
        <w:top w:w="0" w:type="dxa"/>
        <w:left w:w="0" w:type="dxa"/>
        <w:bottom w:w="0" w:type="dxa"/>
        <w:right w:w="0" w:type="dxa"/>
      </w:tblCellMar>
    </w:tblPr>
  </w:style>
  <w:style w:type="paragraph" w:customStyle="1" w:styleId="25">
    <w:name w:val="Table Text"/>
    <w:basedOn w:val="1"/>
    <w:semiHidden/>
    <w:qFormat/>
    <w:uiPriority w:val="0"/>
    <w:rPr>
      <w:rFonts w:ascii="宋体" w:hAnsi="宋体" w:eastAsia="宋体" w:cs="宋体"/>
      <w:sz w:val="21"/>
      <w:szCs w:val="21"/>
      <w:lang w:val="en-US" w:eastAsia="en-US" w:bidi="ar-SA"/>
    </w:rPr>
  </w:style>
  <w:style w:type="paragraph" w:customStyle="1" w:styleId="26">
    <w:name w:val="柴_标题1"/>
    <w:basedOn w:val="2"/>
    <w:next w:val="27"/>
    <w:link w:val="38"/>
    <w:qFormat/>
    <w:uiPriority w:val="0"/>
    <w:pPr>
      <w:spacing w:before="100" w:after="90" w:line="360" w:lineRule="auto"/>
    </w:pPr>
    <w:rPr>
      <w:rFonts w:ascii="Arial" w:hAnsi="Arial" w:eastAsia="宋体"/>
      <w:sz w:val="32"/>
    </w:rPr>
  </w:style>
  <w:style w:type="paragraph" w:customStyle="1" w:styleId="27">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28">
    <w:name w:val="柴_标题2"/>
    <w:basedOn w:val="3"/>
    <w:next w:val="27"/>
    <w:qFormat/>
    <w:uiPriority w:val="0"/>
    <w:pPr>
      <w:spacing w:line="360" w:lineRule="auto"/>
    </w:pPr>
    <w:rPr>
      <w:rFonts w:ascii="Arial" w:hAnsi="Arial" w:eastAsia="宋体"/>
      <w:sz w:val="28"/>
    </w:rPr>
  </w:style>
  <w:style w:type="paragraph" w:customStyle="1" w:styleId="29">
    <w:name w:val="柴_标题3"/>
    <w:basedOn w:val="4"/>
    <w:next w:val="27"/>
    <w:qFormat/>
    <w:uiPriority w:val="0"/>
    <w:pPr>
      <w:spacing w:line="360" w:lineRule="auto"/>
      <w:ind w:left="0" w:firstLine="472" w:firstLineChars="200"/>
    </w:pPr>
    <w:rPr>
      <w:rFonts w:ascii="宋体" w:hAnsi="宋体" w:eastAsia="宋体" w:cs="宋体"/>
      <w:spacing w:val="-2"/>
      <w:sz w:val="24"/>
      <w:szCs w:val="24"/>
    </w:rPr>
  </w:style>
  <w:style w:type="paragraph" w:customStyle="1" w:styleId="30">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1">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32">
    <w:name w:val="柴_文档名"/>
    <w:basedOn w:val="19"/>
    <w:qFormat/>
    <w:uiPriority w:val="0"/>
    <w:pPr>
      <w:spacing w:after="900" w:afterLines="900"/>
    </w:pPr>
    <w:rPr>
      <w:rFonts w:ascii="黑体" w:hAnsi="黑体" w:eastAsia="黑体" w:cs="黑体"/>
      <w:bCs/>
      <w:spacing w:val="-7"/>
      <w:sz w:val="52"/>
      <w:szCs w:val="52"/>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6"/>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7"/>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header" Target="header4.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4097"/>
    <customShpInfo spid="_x0000_s4098"/>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5</Pages>
  <Words>161</Words>
  <Characters>187</Characters>
  <Lines>0</Lines>
  <Paragraphs>0</Paragraphs>
  <TotalTime>0</TotalTime>
  <ScaleCrop>false</ScaleCrop>
  <LinksUpToDate>false</LinksUpToDate>
  <CharactersWithSpaces>217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2025-08-19T17:02:00Z</dcterms:created>
  <dc:creator>健 张</dc:creator>
  <cp:lastModifiedBy>郝宇</cp:lastModifiedBy>
  <dcterms:modified xsi:type="dcterms:W3CDTF">2026-02-10T07:23:03Z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2025-08-21T23:19:59Z</vt:filetime>
  </property>
  <property fmtid="{D5CDD505-2E9C-101B-9397-08002B2CF9AE}" pid="3" name="CRO">
    <vt:lpwstr>wqlLaW5nc29mdCBQREYgdG8gV1BTIDExNQ</vt:lpwstr>
  </property>
  <property fmtid="{D5CDD505-2E9C-101B-9397-08002B2CF9AE}" pid="4" name="ICV">
    <vt:lpwstr>8F2E0A1DFA5B4908BF438CFA6DB17F83_12</vt:lpwstr>
  </property>
  <property fmtid="{D5CDD505-2E9C-101B-9397-08002B2CF9AE}" pid="5" name="KSOProductBuildVer">
    <vt:lpwstr>2052-12.1.0.25225</vt:lpwstr>
  </property>
  <property fmtid="{D5CDD505-2E9C-101B-9397-08002B2CF9AE}" pid="6" name="KSOTemplateDocerSaveRecord">
    <vt:lpwstr>eyJoZGlkIjoiZWI4NmUzMGY2ODA3MDc4ZTFlMjZjZTAyMjM0NmVmODgiLCJ1c2VySWQiOiIxMDc1MzgyOSJ9</vt:lpwstr>
  </property>
</Properties>
</file>