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B9DD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4CDC173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2859"/>
      <w:r>
        <w:t>备品备件应用提升情况总结说明</w:t>
      </w:r>
      <w:bookmarkEnd w:id="0"/>
    </w:p>
    <w:p w14:paraId="59B99B15">
      <w:pPr>
        <w:pStyle w:val="12"/>
        <w:keepNext w:val="0"/>
        <w:keepLines w:val="0"/>
        <w:pageBreakBefore w:val="0"/>
        <w:widowControl w:val="0"/>
        <w:kinsoku w:val="0"/>
        <w:wordWrap/>
        <w:overflowPunct/>
        <w:topLinePunct w:val="0"/>
        <w:autoSpaceDE w:val="0"/>
        <w:autoSpaceDN w:val="0"/>
        <w:bidi w:val="0"/>
        <w:adjustRightInd w:val="0"/>
        <w:snapToGrid w:val="0"/>
        <w:spacing w:line="247" w:lineRule="auto"/>
        <w:textAlignment w:val="baseline"/>
      </w:pPr>
    </w:p>
    <w:p w14:paraId="1D422B2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1305"/>
      <w:r>
        <w:t>中达丰集团有限公司</w:t>
      </w:r>
      <w:bookmarkEnd w:id="1"/>
    </w:p>
    <w:p w14:paraId="07F21C47">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790"/>
        <w:textAlignment w:val="baseline"/>
        <w:rPr>
          <w:rFonts w:ascii="宋体" w:hAnsi="宋体" w:eastAsia="宋体" w:cs="宋体"/>
          <w:sz w:val="36"/>
          <w:szCs w:val="36"/>
        </w:rPr>
      </w:pPr>
      <w:r>
        <w:rPr>
          <w:rFonts w:ascii="宋体" w:hAnsi="宋体" w:eastAsia="宋体" w:cs="宋体"/>
          <w:spacing w:val="-10"/>
          <w:sz w:val="36"/>
          <w:szCs w:val="36"/>
        </w:rPr>
        <w:t>2025年</w:t>
      </w:r>
      <w:r>
        <w:rPr>
          <w:rFonts w:hint="eastAsia" w:ascii="宋体" w:hAnsi="宋体" w:eastAsia="宋体" w:cs="宋体"/>
          <w:spacing w:val="-10"/>
          <w:sz w:val="36"/>
          <w:szCs w:val="36"/>
          <w:lang w:val="en-US" w:eastAsia="zh-CN"/>
        </w:rPr>
        <w:t>1</w:t>
      </w:r>
      <w:r>
        <w:rPr>
          <w:rFonts w:hint="eastAsia" w:ascii="宋体" w:hAnsi="宋体" w:cs="宋体"/>
          <w:spacing w:val="-10"/>
          <w:sz w:val="36"/>
          <w:szCs w:val="36"/>
          <w:lang w:val="en-US" w:eastAsia="zh-CN"/>
        </w:rPr>
        <w:t>2</w:t>
      </w:r>
      <w:r>
        <w:rPr>
          <w:rFonts w:ascii="宋体" w:hAnsi="宋体" w:eastAsia="宋体" w:cs="宋体"/>
          <w:spacing w:val="-10"/>
          <w:sz w:val="36"/>
          <w:szCs w:val="36"/>
        </w:rPr>
        <w:t>月20日</w:t>
      </w:r>
    </w:p>
    <w:p w14:paraId="4E3952AF">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36"/>
          <w:szCs w:val="36"/>
        </w:rPr>
        <w:sectPr>
          <w:pgSz w:w="11906" w:h="16839"/>
          <w:pgMar w:top="1431" w:right="1785" w:bottom="0" w:left="1785" w:header="0" w:footer="0" w:gutter="0"/>
          <w:cols w:space="720" w:num="1"/>
        </w:sectPr>
      </w:pPr>
    </w:p>
    <w:p w14:paraId="10FA42FD">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4355"/>
        <w:textAlignment w:val="baseline"/>
        <w:outlineLvl w:val="0"/>
        <w:rPr>
          <w:rFonts w:ascii="宋体" w:hAnsi="宋体" w:eastAsia="宋体" w:cs="宋体"/>
          <w:sz w:val="28"/>
          <w:szCs w:val="28"/>
        </w:rPr>
      </w:pPr>
      <w:bookmarkStart w:id="2" w:name="_Toc32765"/>
      <w:r>
        <w:rPr>
          <w:rFonts w:ascii="宋体" w:hAnsi="宋体" w:eastAsia="宋体" w:cs="宋体"/>
          <w:spacing w:val="-3"/>
          <w:sz w:val="28"/>
          <w:szCs w:val="28"/>
        </w:rPr>
        <w:t>文档信息</w:t>
      </w:r>
      <w:bookmarkEnd w:id="2"/>
    </w:p>
    <w:p w14:paraId="46BD5333">
      <w:pPr>
        <w:keepNext w:val="0"/>
        <w:keepLines w:val="0"/>
        <w:pageBreakBefore w:val="0"/>
        <w:widowControl w:val="0"/>
        <w:kinsoku w:val="0"/>
        <w:wordWrap/>
        <w:overflowPunct/>
        <w:topLinePunct w:val="0"/>
        <w:autoSpaceDE w:val="0"/>
        <w:autoSpaceDN w:val="0"/>
        <w:bidi w:val="0"/>
        <w:adjustRightInd w:val="0"/>
        <w:snapToGrid w:val="0"/>
        <w:spacing w:line="117" w:lineRule="exact"/>
        <w:textAlignment w:val="baseline"/>
      </w:pPr>
    </w:p>
    <w:tbl>
      <w:tblPr>
        <w:tblStyle w:val="24"/>
        <w:tblW w:w="8646"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74C2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7370E14E">
            <w:pPr>
              <w:pStyle w:val="25"/>
              <w:keepNext w:val="0"/>
              <w:keepLines w:val="0"/>
              <w:pageBreakBefore w:val="0"/>
              <w:widowControl w:val="0"/>
              <w:kinsoku w:val="0"/>
              <w:wordWrap/>
              <w:overflowPunct/>
              <w:topLinePunct w:val="0"/>
              <w:autoSpaceDE w:val="0"/>
              <w:autoSpaceDN w:val="0"/>
              <w:bidi w:val="0"/>
              <w:adjustRightInd w:val="0"/>
              <w:snapToGrid w:val="0"/>
              <w:spacing w:before="139" w:line="220" w:lineRule="auto"/>
              <w:ind w:left="225"/>
              <w:textAlignment w:val="baseline"/>
            </w:pPr>
            <w:r>
              <w:rPr>
                <w:spacing w:val="-2"/>
              </w:rPr>
              <w:t>文档名称编号</w:t>
            </w:r>
          </w:p>
        </w:tc>
        <w:tc>
          <w:tcPr>
            <w:tcW w:w="6942" w:type="dxa"/>
            <w:gridSpan w:val="4"/>
          </w:tcPr>
          <w:p w14:paraId="64339D54">
            <w:pPr>
              <w:pStyle w:val="25"/>
              <w:keepNext w:val="0"/>
              <w:keepLines w:val="0"/>
              <w:pageBreakBefore w:val="0"/>
              <w:widowControl w:val="0"/>
              <w:kinsoku w:val="0"/>
              <w:wordWrap/>
              <w:overflowPunct/>
              <w:topLinePunct w:val="0"/>
              <w:autoSpaceDE w:val="0"/>
              <w:autoSpaceDN w:val="0"/>
              <w:bidi w:val="0"/>
              <w:adjustRightInd w:val="0"/>
              <w:snapToGrid w:val="0"/>
              <w:spacing w:before="139" w:line="220" w:lineRule="auto"/>
              <w:ind w:left="110"/>
              <w:textAlignment w:val="baseline"/>
            </w:pPr>
            <w:r>
              <w:rPr>
                <w:spacing w:val="-1"/>
              </w:rPr>
              <w:t>备品备件应用提升情况总结说明</w:t>
            </w:r>
          </w:p>
        </w:tc>
      </w:tr>
      <w:tr w14:paraId="0A14F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48C66AE7">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35"/>
              <w:textAlignment w:val="baseline"/>
            </w:pPr>
            <w:r>
              <w:rPr>
                <w:spacing w:val="-2"/>
              </w:rPr>
              <w:t>编制单位</w:t>
            </w:r>
          </w:p>
        </w:tc>
        <w:tc>
          <w:tcPr>
            <w:tcW w:w="6942" w:type="dxa"/>
            <w:gridSpan w:val="4"/>
          </w:tcPr>
          <w:p w14:paraId="2495E14B">
            <w:pPr>
              <w:pStyle w:val="25"/>
              <w:keepNext w:val="0"/>
              <w:keepLines w:val="0"/>
              <w:pageBreakBefore w:val="0"/>
              <w:widowControl w:val="0"/>
              <w:kinsoku w:val="0"/>
              <w:wordWrap/>
              <w:overflowPunct/>
              <w:topLinePunct w:val="0"/>
              <w:autoSpaceDE w:val="0"/>
              <w:autoSpaceDN w:val="0"/>
              <w:bidi w:val="0"/>
              <w:adjustRightInd w:val="0"/>
              <w:snapToGrid w:val="0"/>
              <w:spacing w:before="137" w:line="219" w:lineRule="auto"/>
              <w:ind w:left="108"/>
              <w:textAlignment w:val="baseline"/>
            </w:pPr>
            <w:r>
              <w:rPr>
                <w:spacing w:val="-1"/>
              </w:rPr>
              <w:t>中达丰集团有限公司</w:t>
            </w:r>
          </w:p>
        </w:tc>
      </w:tr>
      <w:tr w14:paraId="4772D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26B66400">
            <w:pPr>
              <w:pStyle w:val="25"/>
              <w:keepNext w:val="0"/>
              <w:keepLines w:val="0"/>
              <w:pageBreakBefore w:val="0"/>
              <w:widowControl w:val="0"/>
              <w:kinsoku w:val="0"/>
              <w:wordWrap/>
              <w:overflowPunct/>
              <w:topLinePunct w:val="0"/>
              <w:autoSpaceDE w:val="0"/>
              <w:autoSpaceDN w:val="0"/>
              <w:bidi w:val="0"/>
              <w:adjustRightInd w:val="0"/>
              <w:snapToGrid w:val="0"/>
              <w:spacing w:before="139" w:line="219" w:lineRule="auto"/>
              <w:ind w:left="435"/>
              <w:textAlignment w:val="baseline"/>
            </w:pPr>
            <w:r>
              <w:rPr>
                <w:spacing w:val="-2"/>
              </w:rPr>
              <w:t>文档版本</w:t>
            </w:r>
          </w:p>
        </w:tc>
        <w:tc>
          <w:tcPr>
            <w:tcW w:w="1558" w:type="dxa"/>
          </w:tcPr>
          <w:p w14:paraId="7C0CF5B1">
            <w:pPr>
              <w:pStyle w:val="25"/>
              <w:keepNext w:val="0"/>
              <w:keepLines w:val="0"/>
              <w:pageBreakBefore w:val="0"/>
              <w:widowControl w:val="0"/>
              <w:kinsoku w:val="0"/>
              <w:wordWrap/>
              <w:overflowPunct/>
              <w:topLinePunct w:val="0"/>
              <w:autoSpaceDE w:val="0"/>
              <w:autoSpaceDN w:val="0"/>
              <w:bidi w:val="0"/>
              <w:adjustRightInd w:val="0"/>
              <w:snapToGrid w:val="0"/>
              <w:spacing w:before="139" w:line="219" w:lineRule="auto"/>
              <w:ind w:left="361"/>
              <w:textAlignment w:val="baseline"/>
            </w:pPr>
            <w:r>
              <w:rPr>
                <w:spacing w:val="-2"/>
              </w:rPr>
              <w:t>版本日期</w:t>
            </w:r>
          </w:p>
        </w:tc>
        <w:tc>
          <w:tcPr>
            <w:tcW w:w="2123" w:type="dxa"/>
          </w:tcPr>
          <w:p w14:paraId="22AC1BB4">
            <w:pPr>
              <w:pStyle w:val="25"/>
              <w:keepNext w:val="0"/>
              <w:keepLines w:val="0"/>
              <w:pageBreakBefore w:val="0"/>
              <w:widowControl w:val="0"/>
              <w:kinsoku w:val="0"/>
              <w:wordWrap/>
              <w:overflowPunct/>
              <w:topLinePunct w:val="0"/>
              <w:autoSpaceDE w:val="0"/>
              <w:autoSpaceDN w:val="0"/>
              <w:bidi w:val="0"/>
              <w:adjustRightInd w:val="0"/>
              <w:snapToGrid w:val="0"/>
              <w:spacing w:before="139" w:line="219" w:lineRule="auto"/>
              <w:ind w:left="646"/>
              <w:textAlignment w:val="baseline"/>
            </w:pPr>
            <w:r>
              <w:rPr>
                <w:spacing w:val="-2"/>
              </w:rPr>
              <w:t>版本说明</w:t>
            </w:r>
          </w:p>
        </w:tc>
        <w:tc>
          <w:tcPr>
            <w:tcW w:w="1699" w:type="dxa"/>
          </w:tcPr>
          <w:p w14:paraId="5CCE3883">
            <w:pPr>
              <w:pStyle w:val="25"/>
              <w:keepNext w:val="0"/>
              <w:keepLines w:val="0"/>
              <w:pageBreakBefore w:val="0"/>
              <w:widowControl w:val="0"/>
              <w:kinsoku w:val="0"/>
              <w:wordWrap/>
              <w:overflowPunct/>
              <w:topLinePunct w:val="0"/>
              <w:autoSpaceDE w:val="0"/>
              <w:autoSpaceDN w:val="0"/>
              <w:bidi w:val="0"/>
              <w:adjustRightInd w:val="0"/>
              <w:snapToGrid w:val="0"/>
              <w:spacing w:before="139" w:line="220" w:lineRule="auto"/>
              <w:ind w:left="594"/>
              <w:textAlignment w:val="baseline"/>
            </w:pPr>
            <w:r>
              <w:rPr>
                <w:spacing w:val="-5"/>
              </w:rPr>
              <w:t>作</w:t>
            </w:r>
            <w:r>
              <w:rPr>
                <w:spacing w:val="9"/>
              </w:rPr>
              <w:t xml:space="preserve"> </w:t>
            </w:r>
            <w:r>
              <w:rPr>
                <w:spacing w:val="-5"/>
              </w:rPr>
              <w:t>者</w:t>
            </w:r>
          </w:p>
        </w:tc>
        <w:tc>
          <w:tcPr>
            <w:tcW w:w="1562" w:type="dxa"/>
          </w:tcPr>
          <w:p w14:paraId="2727793D">
            <w:pPr>
              <w:pStyle w:val="25"/>
              <w:keepNext w:val="0"/>
              <w:keepLines w:val="0"/>
              <w:pageBreakBefore w:val="0"/>
              <w:widowControl w:val="0"/>
              <w:kinsoku w:val="0"/>
              <w:wordWrap/>
              <w:overflowPunct/>
              <w:topLinePunct w:val="0"/>
              <w:autoSpaceDE w:val="0"/>
              <w:autoSpaceDN w:val="0"/>
              <w:bidi w:val="0"/>
              <w:adjustRightInd w:val="0"/>
              <w:snapToGrid w:val="0"/>
              <w:spacing w:before="139" w:line="220" w:lineRule="auto"/>
              <w:ind w:left="587"/>
              <w:textAlignment w:val="baseline"/>
            </w:pPr>
            <w:r>
              <w:rPr>
                <w:spacing w:val="-5"/>
              </w:rPr>
              <w:t>审核</w:t>
            </w:r>
          </w:p>
        </w:tc>
      </w:tr>
      <w:tr w14:paraId="677CB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863DE8F">
            <w:pPr>
              <w:pStyle w:val="25"/>
              <w:keepNext w:val="0"/>
              <w:keepLines w:val="0"/>
              <w:pageBreakBefore w:val="0"/>
              <w:widowControl w:val="0"/>
              <w:kinsoku w:val="0"/>
              <w:wordWrap/>
              <w:overflowPunct/>
              <w:topLinePunct w:val="0"/>
              <w:autoSpaceDE w:val="0"/>
              <w:autoSpaceDN w:val="0"/>
              <w:bidi w:val="0"/>
              <w:adjustRightInd w:val="0"/>
              <w:snapToGrid w:val="0"/>
              <w:spacing w:before="104" w:line="239" w:lineRule="auto"/>
              <w:ind w:left="638"/>
              <w:textAlignment w:val="baseline"/>
            </w:pPr>
            <w:r>
              <w:rPr>
                <w:spacing w:val="-1"/>
              </w:rPr>
              <w:t>V1.0</w:t>
            </w:r>
          </w:p>
        </w:tc>
        <w:tc>
          <w:tcPr>
            <w:tcW w:w="1558" w:type="dxa"/>
          </w:tcPr>
          <w:p w14:paraId="060BE652">
            <w:pPr>
              <w:pStyle w:val="25"/>
              <w:keepNext w:val="0"/>
              <w:keepLines w:val="0"/>
              <w:pageBreakBefore w:val="0"/>
              <w:widowControl w:val="0"/>
              <w:kinsoku w:val="0"/>
              <w:wordWrap/>
              <w:overflowPunct/>
              <w:topLinePunct w:val="0"/>
              <w:autoSpaceDE w:val="0"/>
              <w:autoSpaceDN w:val="0"/>
              <w:bidi w:val="0"/>
              <w:adjustRightInd w:val="0"/>
              <w:snapToGrid w:val="0"/>
              <w:spacing w:before="104"/>
              <w:ind w:left="362"/>
              <w:textAlignment w:val="baseline"/>
            </w:pPr>
            <w:r>
              <w:rPr>
                <w:spacing w:val="-2"/>
              </w:rPr>
              <w:t>2025-</w:t>
            </w:r>
            <w:r>
              <w:rPr>
                <w:rFonts w:hint="eastAsia"/>
                <w:spacing w:val="-2"/>
                <w:lang w:val="en-US" w:eastAsia="zh-CN"/>
              </w:rPr>
              <w:t>12</w:t>
            </w:r>
            <w:r>
              <w:rPr>
                <w:spacing w:val="-2"/>
              </w:rPr>
              <w:t>-20</w:t>
            </w:r>
          </w:p>
        </w:tc>
        <w:tc>
          <w:tcPr>
            <w:tcW w:w="2123" w:type="dxa"/>
          </w:tcPr>
          <w:p w14:paraId="6FA196A0">
            <w:pPr>
              <w:pStyle w:val="25"/>
              <w:keepNext w:val="0"/>
              <w:keepLines w:val="0"/>
              <w:pageBreakBefore w:val="0"/>
              <w:widowControl w:val="0"/>
              <w:kinsoku w:val="0"/>
              <w:wordWrap/>
              <w:overflowPunct/>
              <w:topLinePunct w:val="0"/>
              <w:autoSpaceDE w:val="0"/>
              <w:autoSpaceDN w:val="0"/>
              <w:bidi w:val="0"/>
              <w:adjustRightInd w:val="0"/>
              <w:snapToGrid w:val="0"/>
              <w:spacing w:before="74" w:line="219" w:lineRule="auto"/>
              <w:ind w:left="648"/>
              <w:textAlignment w:val="baseline"/>
            </w:pPr>
            <w:r>
              <w:rPr>
                <w:spacing w:val="-3"/>
              </w:rPr>
              <w:t>发布版本</w:t>
            </w:r>
          </w:p>
        </w:tc>
        <w:tc>
          <w:tcPr>
            <w:tcW w:w="1699" w:type="dxa"/>
          </w:tcPr>
          <w:p w14:paraId="4CC7767B">
            <w:pPr>
              <w:pStyle w:val="25"/>
              <w:keepNext w:val="0"/>
              <w:keepLines w:val="0"/>
              <w:pageBreakBefore w:val="0"/>
              <w:widowControl w:val="0"/>
              <w:kinsoku w:val="0"/>
              <w:wordWrap/>
              <w:overflowPunct/>
              <w:topLinePunct w:val="0"/>
              <w:autoSpaceDE w:val="0"/>
              <w:autoSpaceDN w:val="0"/>
              <w:bidi w:val="0"/>
              <w:adjustRightInd w:val="0"/>
              <w:snapToGrid w:val="0"/>
              <w:spacing w:before="75" w:line="220" w:lineRule="auto"/>
              <w:ind w:left="551"/>
              <w:textAlignment w:val="baseline"/>
              <w:rPr>
                <w:rFonts w:hint="eastAsia" w:eastAsia="宋体"/>
                <w:lang w:val="en-US" w:eastAsia="zh-CN"/>
              </w:rPr>
            </w:pPr>
            <w:r>
              <w:rPr>
                <w:rFonts w:hint="eastAsia"/>
                <w:lang w:val="en-US" w:eastAsia="zh-CN"/>
              </w:rPr>
              <w:t>肖龙莽</w:t>
            </w:r>
          </w:p>
        </w:tc>
        <w:tc>
          <w:tcPr>
            <w:tcW w:w="1562" w:type="dxa"/>
          </w:tcPr>
          <w:p w14:paraId="454C9298">
            <w:pPr>
              <w:pStyle w:val="25"/>
              <w:keepNext w:val="0"/>
              <w:keepLines w:val="0"/>
              <w:pageBreakBefore w:val="0"/>
              <w:widowControl w:val="0"/>
              <w:kinsoku w:val="0"/>
              <w:wordWrap/>
              <w:overflowPunct/>
              <w:topLinePunct w:val="0"/>
              <w:autoSpaceDE w:val="0"/>
              <w:autoSpaceDN w:val="0"/>
              <w:bidi w:val="0"/>
              <w:adjustRightInd w:val="0"/>
              <w:snapToGrid w:val="0"/>
              <w:spacing w:before="74" w:line="220" w:lineRule="auto"/>
              <w:ind w:left="476"/>
              <w:textAlignment w:val="baseline"/>
            </w:pPr>
            <w:r>
              <w:rPr>
                <w:spacing w:val="-3"/>
              </w:rPr>
              <w:t>吴向阳</w:t>
            </w:r>
          </w:p>
        </w:tc>
      </w:tr>
      <w:tr w14:paraId="7043B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791411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8" w:type="dxa"/>
          </w:tcPr>
          <w:p w14:paraId="4B69220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123" w:type="dxa"/>
          </w:tcPr>
          <w:p w14:paraId="34F94D4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99" w:type="dxa"/>
          </w:tcPr>
          <w:p w14:paraId="08FCE11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2" w:type="dxa"/>
          </w:tcPr>
          <w:p w14:paraId="4DEE7C9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5854E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3D4D750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8" w:type="dxa"/>
          </w:tcPr>
          <w:p w14:paraId="5B65A92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123" w:type="dxa"/>
          </w:tcPr>
          <w:p w14:paraId="7831E9A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99" w:type="dxa"/>
          </w:tcPr>
          <w:p w14:paraId="6D097AD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2" w:type="dxa"/>
          </w:tcPr>
          <w:p w14:paraId="285BA9C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690F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3BC9A8E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8" w:type="dxa"/>
          </w:tcPr>
          <w:p w14:paraId="619350B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123" w:type="dxa"/>
          </w:tcPr>
          <w:p w14:paraId="7B86E01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99" w:type="dxa"/>
          </w:tcPr>
          <w:p w14:paraId="4B02D43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2" w:type="dxa"/>
          </w:tcPr>
          <w:p w14:paraId="04DC310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13261675">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31661671">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r:id="rId5" w:type="default"/>
          <w:footerReference r:id="rId6" w:type="default"/>
          <w:pgSz w:w="11906" w:h="16839"/>
          <w:pgMar w:top="1246" w:right="1050" w:bottom="1375" w:left="1050" w:header="1231" w:footer="983" w:gutter="0"/>
          <w:cols w:space="720" w:num="1"/>
        </w:sectPr>
      </w:pPr>
    </w:p>
    <w:sdt>
      <w:sdtPr>
        <w:rPr>
          <w:rFonts w:ascii="宋体" w:hAnsi="宋体" w:eastAsia="宋体" w:cs="Arial"/>
          <w:snapToGrid w:val="0"/>
          <w:color w:val="000000"/>
          <w:kern w:val="0"/>
          <w:sz w:val="21"/>
          <w:szCs w:val="21"/>
          <w:lang w:val="en-US" w:eastAsia="en-US" w:bidi="ar-SA"/>
        </w:rPr>
        <w:id w:val="147480930"/>
        <w:docPartObj>
          <w:docPartGallery w:val="Table of Contents"/>
          <w:docPartUnique/>
        </w:docPartObj>
      </w:sdtPr>
      <w:sdtEndPr>
        <w:rPr>
          <w:rFonts w:ascii="Arial" w:hAnsi="Arial" w:eastAsia="宋体" w:cs="Arial"/>
          <w:snapToGrid w:val="0"/>
          <w:color w:val="000000"/>
          <w:kern w:val="0"/>
          <w:sz w:val="24"/>
          <w:szCs w:val="21"/>
          <w:lang w:val="en-US" w:eastAsia="zh-CN" w:bidi="ar-SA"/>
        </w:rPr>
      </w:sdtEndPr>
      <w:sdtContent>
        <w:p w14:paraId="529617D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582FE10">
          <w:pPr>
            <w:pStyle w:val="16"/>
            <w:tabs>
              <w:tab w:val="right" w:leader="dot" w:pos="9806"/>
            </w:tabs>
          </w:pPr>
          <w:bookmarkStart w:id="12" w:name="_GoBack"/>
          <w:bookmarkEnd w:id="12"/>
          <w:r>
            <w:fldChar w:fldCharType="begin"/>
          </w:r>
          <w:r>
            <w:instrText xml:space="preserve">TOC \o "1-3" \h \u </w:instrText>
          </w:r>
          <w:r>
            <w:fldChar w:fldCharType="separate"/>
          </w:r>
          <w:r>
            <w:fldChar w:fldCharType="begin"/>
          </w:r>
          <w:r>
            <w:instrText xml:space="preserve"> HYPERLINK \l _Toc22859 </w:instrText>
          </w:r>
          <w:r>
            <w:fldChar w:fldCharType="separate"/>
          </w:r>
          <w:r>
            <w:t>备品备件应用提升情况总结说明</w:t>
          </w:r>
          <w:r>
            <w:tab/>
          </w:r>
          <w:r>
            <w:fldChar w:fldCharType="begin"/>
          </w:r>
          <w:r>
            <w:instrText xml:space="preserve"> PAGEREF _Toc22859 \h </w:instrText>
          </w:r>
          <w:r>
            <w:fldChar w:fldCharType="separate"/>
          </w:r>
          <w:r>
            <w:t>1</w:t>
          </w:r>
          <w:r>
            <w:fldChar w:fldCharType="end"/>
          </w:r>
          <w:r>
            <w:fldChar w:fldCharType="end"/>
          </w:r>
        </w:p>
        <w:p w14:paraId="4F4C4B03">
          <w:pPr>
            <w:pStyle w:val="16"/>
            <w:tabs>
              <w:tab w:val="right" w:leader="dot" w:pos="9806"/>
            </w:tabs>
          </w:pPr>
          <w:r>
            <w:fldChar w:fldCharType="begin"/>
          </w:r>
          <w:r>
            <w:instrText xml:space="preserve"> HYPERLINK \l _Toc11305 </w:instrText>
          </w:r>
          <w:r>
            <w:fldChar w:fldCharType="separate"/>
          </w:r>
          <w:r>
            <w:t>中达丰集团有限公司</w:t>
          </w:r>
          <w:r>
            <w:tab/>
          </w:r>
          <w:r>
            <w:fldChar w:fldCharType="begin"/>
          </w:r>
          <w:r>
            <w:instrText xml:space="preserve"> PAGEREF _Toc11305 \h </w:instrText>
          </w:r>
          <w:r>
            <w:fldChar w:fldCharType="separate"/>
          </w:r>
          <w:r>
            <w:t>1</w:t>
          </w:r>
          <w:r>
            <w:fldChar w:fldCharType="end"/>
          </w:r>
          <w:r>
            <w:fldChar w:fldCharType="end"/>
          </w:r>
        </w:p>
        <w:p w14:paraId="74B765E0">
          <w:pPr>
            <w:pStyle w:val="16"/>
            <w:tabs>
              <w:tab w:val="right" w:leader="dot" w:pos="9806"/>
            </w:tabs>
          </w:pPr>
          <w:r>
            <w:fldChar w:fldCharType="begin"/>
          </w:r>
          <w:r>
            <w:instrText xml:space="preserve"> HYPERLINK \l _Toc32765 </w:instrText>
          </w:r>
          <w:r>
            <w:fldChar w:fldCharType="separate"/>
          </w:r>
          <w:r>
            <w:rPr>
              <w:rFonts w:ascii="宋体" w:hAnsi="宋体" w:eastAsia="宋体" w:cs="宋体"/>
              <w:spacing w:val="-3"/>
              <w:szCs w:val="28"/>
            </w:rPr>
            <w:t>文档信息</w:t>
          </w:r>
          <w:r>
            <w:tab/>
          </w:r>
          <w:r>
            <w:fldChar w:fldCharType="begin"/>
          </w:r>
          <w:r>
            <w:instrText xml:space="preserve"> PAGEREF _Toc32765 \h </w:instrText>
          </w:r>
          <w:r>
            <w:fldChar w:fldCharType="separate"/>
          </w:r>
          <w:r>
            <w:t>2</w:t>
          </w:r>
          <w:r>
            <w:fldChar w:fldCharType="end"/>
          </w:r>
          <w:r>
            <w:fldChar w:fldCharType="end"/>
          </w:r>
        </w:p>
        <w:p w14:paraId="51C29BB8">
          <w:pPr>
            <w:pStyle w:val="16"/>
            <w:tabs>
              <w:tab w:val="right" w:leader="dot" w:pos="9806"/>
            </w:tabs>
          </w:pPr>
          <w:r>
            <w:fldChar w:fldCharType="begin"/>
          </w:r>
          <w:r>
            <w:instrText xml:space="preserve"> HYPERLINK \l _Toc4908 </w:instrText>
          </w:r>
          <w:r>
            <w:fldChar w:fldCharType="separate"/>
          </w:r>
          <w:r>
            <w:rPr>
              <w:rFonts w:hint="default"/>
              <w:lang w:val="en-US"/>
            </w:rPr>
            <w:t>1. 管理体系建设与优化历程</w:t>
          </w:r>
          <w:r>
            <w:tab/>
          </w:r>
          <w:r>
            <w:fldChar w:fldCharType="begin"/>
          </w:r>
          <w:r>
            <w:instrText xml:space="preserve"> PAGEREF _Toc4908 \h </w:instrText>
          </w:r>
          <w:r>
            <w:fldChar w:fldCharType="separate"/>
          </w:r>
          <w:r>
            <w:t>4</w:t>
          </w:r>
          <w:r>
            <w:fldChar w:fldCharType="end"/>
          </w:r>
          <w:r>
            <w:fldChar w:fldCharType="end"/>
          </w:r>
        </w:p>
        <w:p w14:paraId="47F1C99F">
          <w:pPr>
            <w:pStyle w:val="16"/>
            <w:tabs>
              <w:tab w:val="right" w:leader="dot" w:pos="9806"/>
            </w:tabs>
          </w:pPr>
          <w:r>
            <w:fldChar w:fldCharType="begin"/>
          </w:r>
          <w:r>
            <w:instrText xml:space="preserve"> HYPERLINK \l _Toc4558 </w:instrText>
          </w:r>
          <w:r>
            <w:fldChar w:fldCharType="separate"/>
          </w:r>
          <w:r>
            <w:rPr>
              <w:rFonts w:hint="default"/>
              <w:lang w:val="en-US"/>
            </w:rPr>
            <w:t>2. 关键管理措施与实施成效</w:t>
          </w:r>
          <w:r>
            <w:tab/>
          </w:r>
          <w:r>
            <w:fldChar w:fldCharType="begin"/>
          </w:r>
          <w:r>
            <w:instrText xml:space="preserve"> PAGEREF _Toc4558 \h </w:instrText>
          </w:r>
          <w:r>
            <w:fldChar w:fldCharType="separate"/>
          </w:r>
          <w:r>
            <w:t>4</w:t>
          </w:r>
          <w:r>
            <w:fldChar w:fldCharType="end"/>
          </w:r>
          <w:r>
            <w:fldChar w:fldCharType="end"/>
          </w:r>
        </w:p>
        <w:p w14:paraId="41F67B82">
          <w:pPr>
            <w:pStyle w:val="17"/>
            <w:tabs>
              <w:tab w:val="right" w:leader="dot" w:pos="9806"/>
            </w:tabs>
          </w:pPr>
          <w:r>
            <w:fldChar w:fldCharType="begin"/>
          </w:r>
          <w:r>
            <w:instrText xml:space="preserve"> HYPERLINK \l _Toc205 </w:instrText>
          </w:r>
          <w:r>
            <w:fldChar w:fldCharType="separate"/>
          </w:r>
          <w:r>
            <w:rPr>
              <w:rFonts w:hint="default"/>
              <w:lang w:val="en-US"/>
            </w:rPr>
            <w:t>2.1. 库存管理的规范化与可视化</w:t>
          </w:r>
          <w:r>
            <w:tab/>
          </w:r>
          <w:r>
            <w:fldChar w:fldCharType="begin"/>
          </w:r>
          <w:r>
            <w:instrText xml:space="preserve"> PAGEREF _Toc205 \h </w:instrText>
          </w:r>
          <w:r>
            <w:fldChar w:fldCharType="separate"/>
          </w:r>
          <w:r>
            <w:t>4</w:t>
          </w:r>
          <w:r>
            <w:fldChar w:fldCharType="end"/>
          </w:r>
          <w:r>
            <w:fldChar w:fldCharType="end"/>
          </w:r>
        </w:p>
        <w:p w14:paraId="5C80F0F5">
          <w:pPr>
            <w:pStyle w:val="17"/>
            <w:tabs>
              <w:tab w:val="right" w:leader="dot" w:pos="9806"/>
            </w:tabs>
          </w:pPr>
          <w:r>
            <w:fldChar w:fldCharType="begin"/>
          </w:r>
          <w:r>
            <w:instrText xml:space="preserve"> HYPERLINK \l _Toc30927 </w:instrText>
          </w:r>
          <w:r>
            <w:fldChar w:fldCharType="separate"/>
          </w:r>
          <w:r>
            <w:rPr>
              <w:rFonts w:hint="default"/>
              <w:lang w:val="en-US"/>
            </w:rPr>
            <w:t>2.2. 供应商管理的战略化与协同化</w:t>
          </w:r>
          <w:r>
            <w:tab/>
          </w:r>
          <w:r>
            <w:fldChar w:fldCharType="begin"/>
          </w:r>
          <w:r>
            <w:instrText xml:space="preserve"> PAGEREF _Toc30927 \h </w:instrText>
          </w:r>
          <w:r>
            <w:fldChar w:fldCharType="separate"/>
          </w:r>
          <w:r>
            <w:t>4</w:t>
          </w:r>
          <w:r>
            <w:fldChar w:fldCharType="end"/>
          </w:r>
          <w:r>
            <w:fldChar w:fldCharType="end"/>
          </w:r>
        </w:p>
        <w:p w14:paraId="53E096DC">
          <w:pPr>
            <w:pStyle w:val="17"/>
            <w:tabs>
              <w:tab w:val="right" w:leader="dot" w:pos="9806"/>
            </w:tabs>
          </w:pPr>
          <w:r>
            <w:fldChar w:fldCharType="begin"/>
          </w:r>
          <w:r>
            <w:instrText xml:space="preserve"> HYPERLINK \l _Toc28859 </w:instrText>
          </w:r>
          <w:r>
            <w:fldChar w:fldCharType="separate"/>
          </w:r>
          <w:r>
            <w:rPr>
              <w:rFonts w:hint="default"/>
              <w:lang w:val="en-US"/>
            </w:rPr>
            <w:t>2.3. 备件可用性保障的全流程控制</w:t>
          </w:r>
          <w:r>
            <w:tab/>
          </w:r>
          <w:r>
            <w:fldChar w:fldCharType="begin"/>
          </w:r>
          <w:r>
            <w:instrText xml:space="preserve"> PAGEREF _Toc28859 \h </w:instrText>
          </w:r>
          <w:r>
            <w:fldChar w:fldCharType="separate"/>
          </w:r>
          <w:r>
            <w:t>5</w:t>
          </w:r>
          <w:r>
            <w:fldChar w:fldCharType="end"/>
          </w:r>
          <w:r>
            <w:fldChar w:fldCharType="end"/>
          </w:r>
        </w:p>
        <w:p w14:paraId="1C904C4F">
          <w:pPr>
            <w:pStyle w:val="16"/>
            <w:tabs>
              <w:tab w:val="right" w:leader="dot" w:pos="9806"/>
            </w:tabs>
          </w:pPr>
          <w:r>
            <w:fldChar w:fldCharType="begin"/>
          </w:r>
          <w:r>
            <w:instrText xml:space="preserve"> HYPERLINK \l _Toc7246 </w:instrText>
          </w:r>
          <w:r>
            <w:fldChar w:fldCharType="separate"/>
          </w:r>
          <w:r>
            <w:rPr>
              <w:rFonts w:hint="default"/>
              <w:lang w:val="en-US"/>
            </w:rPr>
            <w:t>3. 核心绩效指标达成情况</w:t>
          </w:r>
          <w:r>
            <w:tab/>
          </w:r>
          <w:r>
            <w:fldChar w:fldCharType="begin"/>
          </w:r>
          <w:r>
            <w:instrText xml:space="preserve"> PAGEREF _Toc7246 \h </w:instrText>
          </w:r>
          <w:r>
            <w:fldChar w:fldCharType="separate"/>
          </w:r>
          <w:r>
            <w:t>5</w:t>
          </w:r>
          <w:r>
            <w:fldChar w:fldCharType="end"/>
          </w:r>
          <w:r>
            <w:fldChar w:fldCharType="end"/>
          </w:r>
        </w:p>
        <w:p w14:paraId="06B6B399">
          <w:pPr>
            <w:pStyle w:val="16"/>
            <w:tabs>
              <w:tab w:val="right" w:leader="dot" w:pos="9806"/>
            </w:tabs>
          </w:pPr>
          <w:r>
            <w:fldChar w:fldCharType="begin"/>
          </w:r>
          <w:r>
            <w:instrText xml:space="preserve"> HYPERLINK \l _Toc1535 </w:instrText>
          </w:r>
          <w:r>
            <w:fldChar w:fldCharType="separate"/>
          </w:r>
          <w:r>
            <w:rPr>
              <w:rFonts w:hint="default"/>
              <w:lang w:val="en-US"/>
            </w:rPr>
            <w:t>4. 对核心运维项目的支撑成效</w:t>
          </w:r>
          <w:r>
            <w:tab/>
          </w:r>
          <w:r>
            <w:fldChar w:fldCharType="begin"/>
          </w:r>
          <w:r>
            <w:instrText xml:space="preserve"> PAGEREF _Toc1535 \h </w:instrText>
          </w:r>
          <w:r>
            <w:fldChar w:fldCharType="separate"/>
          </w:r>
          <w:r>
            <w:t>5</w:t>
          </w:r>
          <w:r>
            <w:fldChar w:fldCharType="end"/>
          </w:r>
          <w:r>
            <w:fldChar w:fldCharType="end"/>
          </w:r>
        </w:p>
        <w:p w14:paraId="3F05331E">
          <w:pPr>
            <w:pStyle w:val="16"/>
            <w:tabs>
              <w:tab w:val="right" w:leader="dot" w:pos="9806"/>
            </w:tabs>
          </w:pPr>
          <w:r>
            <w:fldChar w:fldCharType="begin"/>
          </w:r>
          <w:r>
            <w:instrText xml:space="preserve"> HYPERLINK \l _Toc20570 </w:instrText>
          </w:r>
          <w:r>
            <w:fldChar w:fldCharType="separate"/>
          </w:r>
          <w:r>
            <w:rPr>
              <w:rFonts w:hint="default"/>
              <w:lang w:val="en-US"/>
            </w:rPr>
            <w:t>5. 持续改进与未来规划</w:t>
          </w:r>
          <w:r>
            <w:tab/>
          </w:r>
          <w:r>
            <w:fldChar w:fldCharType="begin"/>
          </w:r>
          <w:r>
            <w:instrText xml:space="preserve"> PAGEREF _Toc20570 \h </w:instrText>
          </w:r>
          <w:r>
            <w:fldChar w:fldCharType="separate"/>
          </w:r>
          <w:r>
            <w:t>5</w:t>
          </w:r>
          <w:r>
            <w:fldChar w:fldCharType="end"/>
          </w:r>
          <w:r>
            <w:fldChar w:fldCharType="end"/>
          </w:r>
        </w:p>
        <w:p w14:paraId="78CE2AEE">
          <w:pPr>
            <w:pStyle w:val="16"/>
            <w:tabs>
              <w:tab w:val="right" w:leader="dot" w:pos="9806"/>
            </w:tabs>
          </w:pPr>
          <w:r>
            <w:fldChar w:fldCharType="begin"/>
          </w:r>
          <w:r>
            <w:instrText xml:space="preserve"> HYPERLINK \l _Toc13554 </w:instrText>
          </w:r>
          <w:r>
            <w:fldChar w:fldCharType="separate"/>
          </w:r>
          <w:r>
            <w:rPr>
              <w:rFonts w:hint="default"/>
              <w:lang w:val="en-US"/>
            </w:rPr>
            <w:t>6. 结论</w:t>
          </w:r>
          <w:r>
            <w:tab/>
          </w:r>
          <w:r>
            <w:fldChar w:fldCharType="begin"/>
          </w:r>
          <w:r>
            <w:instrText xml:space="preserve"> PAGEREF _Toc13554 \h </w:instrText>
          </w:r>
          <w:r>
            <w:fldChar w:fldCharType="separate"/>
          </w:r>
          <w:r>
            <w:t>6</w:t>
          </w:r>
          <w:r>
            <w:fldChar w:fldCharType="end"/>
          </w:r>
          <w:r>
            <w:fldChar w:fldCharType="end"/>
          </w:r>
        </w:p>
        <w:p w14:paraId="3EE1AB6C">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宋体" w:cs="Arial"/>
              <w:snapToGrid w:val="0"/>
              <w:color w:val="000000"/>
              <w:kern w:val="0"/>
              <w:sz w:val="24"/>
              <w:szCs w:val="21"/>
              <w:lang w:val="en-US" w:eastAsia="zh-CN" w:bidi="ar-SA"/>
            </w:rPr>
          </w:pPr>
          <w:r>
            <w:fldChar w:fldCharType="end"/>
          </w:r>
        </w:p>
      </w:sdtContent>
    </w:sdt>
    <w:p w14:paraId="2D78D53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宋体" w:cs="Arial"/>
          <w:snapToGrid w:val="0"/>
          <w:color w:val="000000"/>
          <w:kern w:val="0"/>
          <w:sz w:val="24"/>
          <w:szCs w:val="21"/>
          <w:lang w:val="en-US" w:eastAsia="zh-CN" w:bidi="ar-SA"/>
        </w:rPr>
      </w:pPr>
      <w:r>
        <w:rPr>
          <w:rFonts w:ascii="Arial" w:hAnsi="Arial" w:eastAsia="宋体" w:cs="Arial"/>
          <w:snapToGrid w:val="0"/>
          <w:color w:val="000000"/>
          <w:kern w:val="0"/>
          <w:sz w:val="24"/>
          <w:szCs w:val="21"/>
          <w:lang w:val="en-US" w:eastAsia="zh-CN" w:bidi="ar-SA"/>
        </w:rPr>
        <w:br w:type="page"/>
      </w:r>
    </w:p>
    <w:p w14:paraId="63EDF8F9">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3" w:name="_Toc4908"/>
      <w:r>
        <w:rPr>
          <w:rFonts w:hint="default"/>
          <w:lang w:val="en-US"/>
        </w:rPr>
        <w:t>管理体系建设与优化历程</w:t>
      </w:r>
      <w:bookmarkEnd w:id="3"/>
    </w:p>
    <w:p w14:paraId="25D4C4CE">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公司积极引入并践行ITSS（信息技术服务标准）三级成熟度模型，系统性构建并持续完善备品备件管理体系。针对早期备件管理分散、制度缺失、响应滞后的情况，公司通过借鉴行业先进经验，逐步建立了以《备品备件管理制度》与《供应商管理制度》为核心的一整套规范化管理机制。</w:t>
      </w:r>
    </w:p>
    <w:p w14:paraId="3429D0E3">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本年度，管理体系的优化重点聚焦于流程精细化、数据可视化、响应敏捷化三个维度，旨在实现从“被动应对”到“主动预防”、从“经验驱动”到“数据驱动”的根本性转变，为各类运维项目，特别是如“临夏回族自治州中医医院智慧银医项目”这类对服务连续性要求极高的关键项目，提供坚实的物资保障。</w:t>
      </w:r>
    </w:p>
    <w:p w14:paraId="33E26CD8">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4" w:name="_Toc4558"/>
      <w:r>
        <w:rPr>
          <w:rFonts w:hint="default"/>
          <w:lang w:val="en-US"/>
        </w:rPr>
        <w:t>关键管理措施与实施成效</w:t>
      </w:r>
      <w:bookmarkEnd w:id="4"/>
    </w:p>
    <w:p w14:paraId="71D0B09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5" w:name="_Toc205"/>
      <w:r>
        <w:rPr>
          <w:rFonts w:hint="default"/>
          <w:lang w:val="en-US"/>
        </w:rPr>
        <w:t>库存管理的规范化与可视化</w:t>
      </w:r>
      <w:bookmarkEnd w:id="5"/>
    </w:p>
    <w:p w14:paraId="5423B197">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库房物理改造：对仓储空间进行了科学重新规划，定制化安装新货架系统，并严格按设备类型、用途及故障频率对备件进行分区、分类、标识存放，实现了备件的“定位清晰、取用快捷”。</w:t>
      </w:r>
    </w:p>
    <w:p w14:paraId="16771A2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数字化台账管理：依托运维管理平台，建立了电子化备件库存台账，实现每一件备品备件从入库、存储、检测、领用到核销的全生命周期线上跟踪，确保了物流与信息流的同步。</w:t>
      </w:r>
    </w:p>
    <w:p w14:paraId="7865605F">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定期盘点与审计：执行季度全面盘点与月度循环抽查相结合的机制，及时发现并纠正账实不符问题，这是维持库存备件数据准确率稳定的核心基础。</w:t>
      </w:r>
    </w:p>
    <w:p w14:paraId="1FFC2D3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6" w:name="_Toc30927"/>
      <w:r>
        <w:rPr>
          <w:rFonts w:hint="default"/>
          <w:lang w:val="en-US"/>
        </w:rPr>
        <w:t>供应商管理的战略化与协同化</w:t>
      </w:r>
      <w:bookmarkEnd w:id="6"/>
    </w:p>
    <w:p w14:paraId="6F49A1D4">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动态供应商评价体系： 建立了涵盖供货及时率、产品质量合格率、售后服务响应速度、价格水平等多维度的供应商季度考核评分卡。通过优胜劣汰，优化了核心供应商名录，激发了供应链端的服务竞争意识。</w:t>
      </w:r>
    </w:p>
    <w:p w14:paraId="4C179D6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战略协同与信息共享：与关键供应商建立了库存信息共享机制，对常用耗材及核心板件推行“供应商代管库存”（VMI）模式，部分实现了备件“零库存”管理，降低了资金占用。</w:t>
      </w:r>
    </w:p>
    <w:p w14:paraId="7512DA1E">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采购计划的科学性： 依据历史故障数据、设备生命周期及项目SLA要求，编制了主要设备的战略性备件储备计划，避免了采购的盲目性与重复性，使采购资金效益最大化。</w:t>
      </w:r>
    </w:p>
    <w:p w14:paraId="7475B26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7" w:name="_Toc28859"/>
      <w:r>
        <w:rPr>
          <w:rFonts w:hint="default"/>
          <w:lang w:val="en-US"/>
        </w:rPr>
        <w:t>备件可用性保障的全流程控制</w:t>
      </w:r>
      <w:bookmarkEnd w:id="7"/>
    </w:p>
    <w:p w14:paraId="4CBADC8E">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入库检测制度化：所有备件入库前均需进行严格的功能与性能测试，杜绝“问题备件”进入库存，从源头保障可用性。</w:t>
      </w:r>
    </w:p>
    <w:p w14:paraId="1B9F61A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在库保养常态化：对精密电子部件等有特殊存储要求的备件，定期进行通电检测、防潮防尘处理，确保备件在库期间性能不衰减。</w:t>
      </w:r>
    </w:p>
    <w:p w14:paraId="4CE7575B">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应急演练集成化：在业务连续性演练中，同步测试备件紧急领用、更换流程的有效性，确保应急状态下“拿得出、用得上”。</w:t>
      </w:r>
    </w:p>
    <w:p w14:paraId="2C4DE198">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8" w:name="_Toc7246"/>
      <w:r>
        <w:rPr>
          <w:rFonts w:hint="default"/>
          <w:lang w:val="en-US"/>
        </w:rPr>
        <w:t>核心绩效指标达成情况</w:t>
      </w:r>
      <w:bookmarkEnd w:id="8"/>
    </w:p>
    <w:tbl>
      <w:tblPr>
        <w:tblStyle w:val="20"/>
        <w:tblW w:w="100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15" w:type="dxa"/>
          <w:left w:w="15" w:type="dxa"/>
          <w:bottom w:w="15" w:type="dxa"/>
          <w:right w:w="15" w:type="dxa"/>
        </w:tblCellMar>
      </w:tblPr>
      <w:tblGrid>
        <w:gridCol w:w="1248"/>
        <w:gridCol w:w="2262"/>
        <w:gridCol w:w="1160"/>
        <w:gridCol w:w="1784"/>
        <w:gridCol w:w="1784"/>
        <w:gridCol w:w="1784"/>
      </w:tblGrid>
      <w:tr w14:paraId="3AAEBED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tblHeader/>
          <w:jc w:val="center"/>
        </w:trPr>
        <w:tc>
          <w:tcPr>
            <w:tcW w:w="1248"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C62E2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指标维度</w:t>
            </w:r>
          </w:p>
        </w:tc>
        <w:tc>
          <w:tcPr>
            <w:tcW w:w="226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0137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指标名称</w:t>
            </w:r>
          </w:p>
        </w:tc>
        <w:tc>
          <w:tcPr>
            <w:tcW w:w="116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EF48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KPI指标</w:t>
            </w:r>
          </w:p>
        </w:tc>
        <w:tc>
          <w:tcPr>
            <w:tcW w:w="178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C3A0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2025年</w:t>
            </w:r>
            <w:r>
              <w:rPr>
                <w:rFonts w:hint="default" w:ascii="Segoe UI" w:hAnsi="Segoe UI" w:eastAsia="Segoe UI" w:cs="Segoe UI"/>
                <w:b/>
                <w:i w:val="0"/>
                <w:iCs w:val="0"/>
                <w:caps w:val="0"/>
                <w:snapToGrid w:val="0"/>
                <w:color w:val="000000"/>
                <w:spacing w:val="0"/>
                <w:kern w:val="0"/>
                <w:sz w:val="18"/>
                <w:szCs w:val="18"/>
                <w:lang w:val="en-US" w:eastAsia="zh-CN"/>
              </w:rPr>
              <w:t>Q</w:t>
            </w:r>
            <w:r>
              <w:rPr>
                <w:rFonts w:hint="eastAsia" w:ascii="Segoe UI" w:hAnsi="Segoe UI" w:eastAsia="Segoe UI" w:cs="Segoe UI"/>
                <w:b/>
                <w:i w:val="0"/>
                <w:iCs w:val="0"/>
                <w:caps w:val="0"/>
                <w:snapToGrid w:val="0"/>
                <w:color w:val="000000"/>
                <w:spacing w:val="0"/>
                <w:kern w:val="0"/>
                <w:sz w:val="18"/>
                <w:szCs w:val="18"/>
                <w:lang w:val="en-US" w:eastAsia="zh-CN"/>
              </w:rPr>
              <w:t>2</w:t>
            </w:r>
            <w:r>
              <w:rPr>
                <w:rFonts w:hint="default" w:ascii="Segoe UI" w:hAnsi="Segoe UI" w:eastAsia="Segoe UI" w:cs="Segoe UI"/>
                <w:b/>
                <w:i w:val="0"/>
                <w:iCs w:val="0"/>
                <w:caps w:val="0"/>
                <w:snapToGrid w:val="0"/>
                <w:color w:val="000000"/>
                <w:spacing w:val="0"/>
                <w:kern w:val="0"/>
                <w:sz w:val="18"/>
                <w:szCs w:val="18"/>
                <w:lang w:val="en-US" w:eastAsia="zh-CN"/>
              </w:rPr>
              <w:t>实际</w:t>
            </w:r>
          </w:p>
        </w:tc>
        <w:tc>
          <w:tcPr>
            <w:tcW w:w="178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DF35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2025年</w:t>
            </w:r>
            <w:r>
              <w:rPr>
                <w:rFonts w:hint="default" w:ascii="Segoe UI" w:hAnsi="Segoe UI" w:eastAsia="Segoe UI" w:cs="Segoe UI"/>
                <w:b/>
                <w:i w:val="0"/>
                <w:iCs w:val="0"/>
                <w:caps w:val="0"/>
                <w:snapToGrid w:val="0"/>
                <w:color w:val="000000"/>
                <w:spacing w:val="0"/>
                <w:kern w:val="0"/>
                <w:sz w:val="18"/>
                <w:szCs w:val="18"/>
                <w:lang w:val="en-US" w:eastAsia="zh-CN"/>
              </w:rPr>
              <w:t>Q</w:t>
            </w:r>
            <w:r>
              <w:rPr>
                <w:rFonts w:hint="eastAsia" w:ascii="Segoe UI" w:hAnsi="Segoe UI" w:eastAsia="Segoe UI" w:cs="Segoe UI"/>
                <w:b/>
                <w:i w:val="0"/>
                <w:iCs w:val="0"/>
                <w:caps w:val="0"/>
                <w:snapToGrid w:val="0"/>
                <w:color w:val="000000"/>
                <w:spacing w:val="0"/>
                <w:kern w:val="0"/>
                <w:sz w:val="18"/>
                <w:szCs w:val="18"/>
                <w:lang w:val="en-US" w:eastAsia="zh-CN"/>
              </w:rPr>
              <w:t>3</w:t>
            </w:r>
            <w:r>
              <w:rPr>
                <w:rFonts w:hint="default" w:ascii="Segoe UI" w:hAnsi="Segoe UI" w:eastAsia="Segoe UI" w:cs="Segoe UI"/>
                <w:b/>
                <w:i w:val="0"/>
                <w:iCs w:val="0"/>
                <w:caps w:val="0"/>
                <w:snapToGrid w:val="0"/>
                <w:color w:val="000000"/>
                <w:spacing w:val="0"/>
                <w:kern w:val="0"/>
                <w:sz w:val="18"/>
                <w:szCs w:val="18"/>
                <w:lang w:val="en-US" w:eastAsia="zh-CN"/>
              </w:rPr>
              <w:t>实际</w:t>
            </w:r>
          </w:p>
        </w:tc>
        <w:tc>
          <w:tcPr>
            <w:tcW w:w="178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728A5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2025年</w:t>
            </w:r>
            <w:r>
              <w:rPr>
                <w:rFonts w:hint="default" w:ascii="Segoe UI" w:hAnsi="Segoe UI" w:eastAsia="Segoe UI" w:cs="Segoe UI"/>
                <w:b/>
                <w:i w:val="0"/>
                <w:iCs w:val="0"/>
                <w:caps w:val="0"/>
                <w:snapToGrid w:val="0"/>
                <w:color w:val="000000"/>
                <w:spacing w:val="0"/>
                <w:kern w:val="0"/>
                <w:sz w:val="18"/>
                <w:szCs w:val="18"/>
                <w:lang w:val="en-US" w:eastAsia="zh-CN"/>
              </w:rPr>
              <w:t>Q</w:t>
            </w:r>
            <w:r>
              <w:rPr>
                <w:rFonts w:hint="eastAsia" w:ascii="Segoe UI" w:hAnsi="Segoe UI" w:eastAsia="Segoe UI" w:cs="Segoe UI"/>
                <w:b/>
                <w:i w:val="0"/>
                <w:iCs w:val="0"/>
                <w:caps w:val="0"/>
                <w:snapToGrid w:val="0"/>
                <w:color w:val="000000"/>
                <w:spacing w:val="0"/>
                <w:kern w:val="0"/>
                <w:sz w:val="18"/>
                <w:szCs w:val="18"/>
                <w:lang w:val="en-US" w:eastAsia="zh-CN"/>
              </w:rPr>
              <w:t>4</w:t>
            </w:r>
            <w:r>
              <w:rPr>
                <w:rFonts w:hint="default" w:ascii="Segoe UI" w:hAnsi="Segoe UI" w:eastAsia="Segoe UI" w:cs="Segoe UI"/>
                <w:b/>
                <w:i w:val="0"/>
                <w:iCs w:val="0"/>
                <w:caps w:val="0"/>
                <w:snapToGrid w:val="0"/>
                <w:color w:val="000000"/>
                <w:spacing w:val="0"/>
                <w:kern w:val="0"/>
                <w:sz w:val="18"/>
                <w:szCs w:val="18"/>
                <w:lang w:val="en-US" w:eastAsia="zh-CN"/>
              </w:rPr>
              <w:t>实际</w:t>
            </w:r>
          </w:p>
        </w:tc>
      </w:tr>
      <w:tr w14:paraId="55366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jc w:val="center"/>
        </w:trPr>
        <w:tc>
          <w:tcPr>
            <w:tcW w:w="124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C431B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数据准确性</w:t>
            </w:r>
          </w:p>
        </w:tc>
        <w:tc>
          <w:tcPr>
            <w:tcW w:w="226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5080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库存备件数据准确率</w:t>
            </w:r>
          </w:p>
        </w:tc>
        <w:tc>
          <w:tcPr>
            <w:tcW w:w="116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05A0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9</w:t>
            </w:r>
            <w:r>
              <w:rPr>
                <w:rFonts w:hint="eastAsia" w:ascii="Segoe UI" w:hAnsi="Segoe UI" w:eastAsia="Segoe UI" w:cs="Segoe UI"/>
                <w:i w:val="0"/>
                <w:iCs w:val="0"/>
                <w:caps w:val="0"/>
                <w:snapToGrid w:val="0"/>
                <w:color w:val="000000"/>
                <w:spacing w:val="0"/>
                <w:kern w:val="0"/>
                <w:sz w:val="18"/>
                <w:szCs w:val="18"/>
                <w:lang w:val="en-US" w:eastAsia="zh-CN"/>
              </w:rPr>
              <w:t>9</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178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3209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178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E79B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178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3B0A3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r>
      <w:tr w14:paraId="1B4E65E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jc w:val="center"/>
        </w:trPr>
        <w:tc>
          <w:tcPr>
            <w:tcW w:w="124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80DE4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资源可用性</w:t>
            </w:r>
          </w:p>
        </w:tc>
        <w:tc>
          <w:tcPr>
            <w:tcW w:w="226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E36D2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备件可用率</w:t>
            </w:r>
          </w:p>
        </w:tc>
        <w:tc>
          <w:tcPr>
            <w:tcW w:w="116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BE4BF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95%</w:t>
            </w:r>
          </w:p>
        </w:tc>
        <w:tc>
          <w:tcPr>
            <w:tcW w:w="178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874B4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96%</w:t>
            </w:r>
          </w:p>
        </w:tc>
        <w:tc>
          <w:tcPr>
            <w:tcW w:w="178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CD37C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96%</w:t>
            </w:r>
          </w:p>
        </w:tc>
        <w:tc>
          <w:tcPr>
            <w:tcW w:w="178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92" w:type="dxa"/>
            </w:tcMar>
            <w:vAlign w:val="center"/>
          </w:tcPr>
          <w:p w14:paraId="600CA6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r>
    </w:tbl>
    <w:p w14:paraId="2A78535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指标联动价值体现：</w:t>
      </w:r>
    </w:p>
    <w:p w14:paraId="6BA7DC3D">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高准确率（99%）是达成和提升高可用率（100%）的前提。精准的库存数据避免了“有账无物”的紧急缺料风险，使得备件支持计划得以可靠执行。</w:t>
      </w:r>
    </w:p>
    <w:p w14:paraId="295E4D8F">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可用率的持续提升反向验证了管理措施的有效性，并进一步降低了因等待备件而产生的MTTR（平均修复时间），有力支撑了项目整体SLA的达成。</w:t>
      </w:r>
    </w:p>
    <w:p w14:paraId="5A9787B0">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9" w:name="_Toc1535"/>
      <w:r>
        <w:rPr>
          <w:rFonts w:hint="default"/>
          <w:lang w:val="en-US"/>
        </w:rPr>
        <w:t>对核心运维项目的支撑成效</w:t>
      </w:r>
      <w:bookmarkEnd w:id="9"/>
    </w:p>
    <w:p w14:paraId="052ECB0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eastAsia"/>
          <w:lang w:val="en-US" w:eastAsia="zh-CN"/>
        </w:rPr>
        <w:t>截止2025年12月，</w:t>
      </w:r>
      <w:r>
        <w:rPr>
          <w:rFonts w:hint="default"/>
          <w:lang w:val="en-US"/>
        </w:rPr>
        <w:t>优化的备件管理体系发挥了关键支撑作用：</w:t>
      </w:r>
    </w:p>
    <w:p w14:paraId="5B3AA37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提升故障恢复速度：通过储备充电模块、通信板、计量单元等高故障率部件，确保在发生硬件故障时能够快速更换，显著缩短设备停机时间，支撑运维服务等级协议（SLA）达成。</w:t>
      </w:r>
    </w:p>
    <w:p w14:paraId="0729F11D">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保障系统稳定运行：针对配电系统、网络架构、安全防控等关键环节，储备断路器、交换机、传感器等备件，有效防范系统性运行风险，提升整体可用性。</w:t>
      </w:r>
    </w:p>
    <w:p w14:paraId="2F2E496E">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实现成本可控的保障：通过科学的备件分级储备模型与供应商协同机制，在确保服务连续性的前提下，优化库存结构，避免资金沉淀与资源浪费。</w:t>
      </w:r>
    </w:p>
    <w:p w14:paraId="7F8660F7">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增强服务可靠性感知：高效、可预测的备件支持体系，增强了项目运营的稳健性与用户信任度，为充电服务的可持续发展提供底层支撑。</w:t>
      </w:r>
    </w:p>
    <w:p w14:paraId="57074757">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10" w:name="_Toc20570"/>
      <w:r>
        <w:rPr>
          <w:rFonts w:hint="default"/>
          <w:lang w:val="en-US"/>
        </w:rPr>
        <w:t>持续改进与未来规划</w:t>
      </w:r>
      <w:bookmarkEnd w:id="10"/>
    </w:p>
    <w:p w14:paraId="31E9B54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推动管理智能化：探索引入RFID或二维码技术，实现备件出入库自动识别与数据同步，提升管理效率与准确性。</w:t>
      </w:r>
    </w:p>
    <w:p w14:paraId="4F2518AD">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构建预测性备件模型：结合设备运行数据、故障历史与环境因素，开展关键部件寿命预测与备件需求分析，逐步实现从“被动响应”到“主动预防”的转变。</w:t>
      </w:r>
    </w:p>
    <w:p w14:paraId="672586EE">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default"/>
          <w:lang w:val="en-US"/>
        </w:rPr>
        <w:t>探索区域化资源共享：在项目集群或区域范围内，研究建立备件资源协同调度机制，提升资源利用效率与跨项目应急支援能力。</w:t>
      </w:r>
    </w:p>
    <w:p w14:paraId="293BBF44">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bookmarkStart w:id="11" w:name="_Toc13554"/>
      <w:r>
        <w:rPr>
          <w:rFonts w:hint="default"/>
          <w:lang w:val="en-US"/>
        </w:rPr>
        <w:t>结论</w:t>
      </w:r>
      <w:bookmarkEnd w:id="11"/>
    </w:p>
    <w:p w14:paraId="09C3FA62">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zCs w:val="28"/>
          <w:lang w:val="en-US"/>
        </w:rPr>
      </w:pPr>
      <w:r>
        <w:rPr>
          <w:rFonts w:hint="default"/>
          <w:lang w:val="en-US"/>
        </w:rPr>
        <w:t>截至2025年</w:t>
      </w:r>
      <w:r>
        <w:rPr>
          <w:rFonts w:hint="eastAsia"/>
          <w:lang w:val="en-US" w:eastAsia="zh-CN"/>
        </w:rPr>
        <w:t>12月</w:t>
      </w:r>
      <w:r>
        <w:rPr>
          <w:rFonts w:hint="default"/>
          <w:lang w:val="en-US"/>
        </w:rPr>
        <w:t>，公司已成功构建了一套制度完善、流程规范、数据精准、响应高效的现代备品备件管理体系。核心绩效指标——库存数据准确率稳定于99%，备件可用率强势提升至100%——不仅全面达成并超越了既定管理目标，更从实质上转化为对客户运维服务，尤</w:t>
      </w:r>
      <w:r>
        <w:rPr>
          <w:rFonts w:hint="eastAsia"/>
          <w:lang w:val="en-US" w:eastAsia="zh-CN"/>
        </w:rPr>
        <w:t>在</w:t>
      </w:r>
      <w:r>
        <w:rPr>
          <w:rFonts w:hint="default"/>
          <w:lang w:val="en-US"/>
        </w:rPr>
        <w:t>关键项目的强大支持能力。这标志着公司的运维服务保障已从“人力依赖”迈入“体系保障”的新阶段，为业务的可持续增长与客户满意度的持续提升奠定了坚实的物资基础。</w:t>
      </w:r>
    </w:p>
    <w:sectPr>
      <w:headerReference r:id="rId7" w:type="default"/>
      <w:footerReference r:id="rId8" w:type="default"/>
      <w:pgSz w:w="11906" w:h="16839"/>
      <w:pgMar w:top="1246" w:right="1050" w:bottom="1375" w:left="1050" w:header="1231" w:footer="98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F8624">
    <w:pPr>
      <w:spacing w:before="177" w:line="209" w:lineRule="auto"/>
      <w:ind w:left="4057"/>
      <w:rPr>
        <w:rFonts w:ascii="宋体" w:hAnsi="宋体" w:eastAsia="宋体" w:cs="宋体"/>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F804C">
    <w:pPr>
      <w:tabs>
        <w:tab w:val="center" w:pos="4903"/>
      </w:tabs>
      <w:spacing w:before="177" w:line="209" w:lineRule="auto"/>
      <w:ind w:left="4057"/>
      <w:rPr>
        <w:rFonts w:hint="eastAsia" w:ascii="宋体" w:hAnsi="宋体" w:eastAsia="宋体" w:cs="宋体"/>
        <w:sz w:val="18"/>
        <w:szCs w:val="18"/>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55970">
    <w:pPr>
      <w:pStyle w:val="12"/>
      <w:spacing w:line="52" w:lineRule="auto"/>
      <w:rPr>
        <w:sz w:val="2"/>
      </w:rPr>
    </w:pPr>
    <w:r>
      <w:pict>
        <v:shape id="_x0000_s4097" o:spid="_x0000_s4097" style="position:absolute;left:0pt;margin-left:52.55pt;margin-top:61.55pt;height:0.75pt;width:490.25pt;mso-position-horizontal-relative:page;mso-position-vertical-relative:page;z-index:251659264;mso-width-relative:page;mso-height-relative:page;" filled="f" stroked="t" coordsize="9805,15" o:allowincell="f" path="m0,7l9804,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323E9">
    <w:pPr>
      <w:pStyle w:val="12"/>
      <w:pBdr>
        <w:bottom w:val="none" w:color="auto" w:sz="0" w:space="0"/>
      </w:pBdr>
      <w:spacing w:line="52"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AA510D"/>
    <w:rsid w:val="0BF70001"/>
    <w:rsid w:val="0DD26630"/>
    <w:rsid w:val="107734BE"/>
    <w:rsid w:val="143A0A8B"/>
    <w:rsid w:val="15F83458"/>
    <w:rsid w:val="170C5941"/>
    <w:rsid w:val="19EF40C6"/>
    <w:rsid w:val="25EB42DB"/>
    <w:rsid w:val="29064F88"/>
    <w:rsid w:val="297168A5"/>
    <w:rsid w:val="29F85218"/>
    <w:rsid w:val="2D636E4D"/>
    <w:rsid w:val="2FB83480"/>
    <w:rsid w:val="32617BCD"/>
    <w:rsid w:val="33C07820"/>
    <w:rsid w:val="36963DEF"/>
    <w:rsid w:val="3C9F32D2"/>
    <w:rsid w:val="3D954E00"/>
    <w:rsid w:val="40375E49"/>
    <w:rsid w:val="41197AF6"/>
    <w:rsid w:val="43CA50D8"/>
    <w:rsid w:val="4AC917F1"/>
    <w:rsid w:val="4C455C43"/>
    <w:rsid w:val="4D2E345B"/>
    <w:rsid w:val="4E404914"/>
    <w:rsid w:val="59CF2FF0"/>
    <w:rsid w:val="60261490"/>
    <w:rsid w:val="61295EE1"/>
    <w:rsid w:val="645A1743"/>
    <w:rsid w:val="659F72AD"/>
    <w:rsid w:val="71FB452B"/>
    <w:rsid w:val="723D2D95"/>
    <w:rsid w:val="7289422C"/>
    <w:rsid w:val="74EF7FF1"/>
    <w:rsid w:val="78866B18"/>
    <w:rsid w:val="788C1D9C"/>
    <w:rsid w:val="78A82F32"/>
    <w:rsid w:val="79FB502A"/>
    <w:rsid w:val="79FC4D4F"/>
    <w:rsid w:val="7C7E0232"/>
    <w:rsid w:val="7E1619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2083</Words>
  <Characters>2186</Characters>
  <Lines>0</Lines>
  <Paragraphs>0</Paragraphs>
  <TotalTime>0</TotalTime>
  <ScaleCrop>false</ScaleCrop>
  <LinksUpToDate>false</LinksUpToDate>
  <CharactersWithSpaces>2237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2025-08-19T16:25:00Z</dcterms:created>
  <dc:creator>吕阳</dc:creator>
  <cp:lastModifiedBy>郝宇</cp:lastModifiedBy>
  <dcterms:modified xsi:type="dcterms:W3CDTF">2026-02-10T07:23:17Z</dcterms:modified>
  <dc:title>国核信息科技有限公司企业标准</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2025-08-21T23:15:44Z</vt:filetime>
  </property>
  <property fmtid="{D5CDD505-2E9C-101B-9397-08002B2CF9AE}" pid="3" name="CRO">
    <vt:lpwstr>wqlLaW5nc29mdCBQREYgdG8gV1BTIDExNQ</vt:lpwstr>
  </property>
  <property fmtid="{D5CDD505-2E9C-101B-9397-08002B2CF9AE}" pid="4" name="ICV">
    <vt:lpwstr>9D61F20197F4464A9A6640375146DF2F_12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