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DAE32">
      <w:pPr>
        <w:pStyle w:val="31"/>
        <w:bidi w:val="0"/>
        <w:rPr>
          <w:rFonts w:hint="eastAsia"/>
          <w:lang w:val="en-US" w:eastAsia="zh-CN"/>
        </w:rPr>
      </w:pPr>
    </w:p>
    <w:p w14:paraId="02D7F277">
      <w:pPr>
        <w:pStyle w:val="31"/>
        <w:bidi w:val="0"/>
        <w:rPr>
          <w:rFonts w:hint="eastAsia"/>
          <w:lang w:val="en-US" w:eastAsia="zh-CN"/>
        </w:rPr>
      </w:pPr>
    </w:p>
    <w:p w14:paraId="469216DA">
      <w:pPr>
        <w:pStyle w:val="31"/>
        <w:bidi w:val="0"/>
      </w:pPr>
      <w:bookmarkStart w:id="0" w:name="_Toc5513"/>
      <w:r>
        <w:rPr>
          <w:rFonts w:hint="eastAsia"/>
          <w:lang w:val="en-US" w:eastAsia="zh-CN"/>
        </w:rPr>
        <w:t>服务数据</w:t>
      </w:r>
      <w:r>
        <w:t>应用提升情况说明</w:t>
      </w:r>
      <w:bookmarkEnd w:id="0"/>
    </w:p>
    <w:p w14:paraId="778F20E5">
      <w:pPr>
        <w:pStyle w:val="12"/>
        <w:spacing w:line="247" w:lineRule="auto"/>
      </w:pPr>
    </w:p>
    <w:p w14:paraId="32750545">
      <w:pPr>
        <w:pStyle w:val="32"/>
        <w:bidi w:val="0"/>
      </w:pPr>
      <w:bookmarkStart w:id="1" w:name="_Toc18663"/>
      <w:r>
        <w:t>中达丰集团有限公司</w:t>
      </w:r>
      <w:bookmarkEnd w:id="1"/>
    </w:p>
    <w:p w14:paraId="50B7A9C6">
      <w:pPr>
        <w:spacing w:before="224" w:line="220" w:lineRule="auto"/>
        <w:ind w:left="2808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10"/>
          <w:sz w:val="36"/>
          <w:szCs w:val="36"/>
        </w:rPr>
        <w:t>2025年</w:t>
      </w:r>
      <w:r>
        <w:rPr>
          <w:rFonts w:hint="eastAsia" w:ascii="宋体" w:hAnsi="宋体" w:eastAsia="宋体" w:cs="宋体"/>
          <w:spacing w:val="-10"/>
          <w:sz w:val="36"/>
          <w:szCs w:val="36"/>
          <w:lang w:val="en-US" w:eastAsia="zh-CN"/>
        </w:rPr>
        <w:t>1</w:t>
      </w:r>
      <w:r>
        <w:rPr>
          <w:rFonts w:hint="eastAsia" w:ascii="宋体" w:hAnsi="宋体" w:cs="宋体"/>
          <w:spacing w:val="-10"/>
          <w:sz w:val="36"/>
          <w:szCs w:val="36"/>
          <w:lang w:val="en-US" w:eastAsia="zh-CN"/>
        </w:rPr>
        <w:t>2</w:t>
      </w:r>
      <w:r>
        <w:rPr>
          <w:rFonts w:hint="eastAsia" w:ascii="宋体" w:hAnsi="宋体" w:eastAsia="宋体" w:cs="宋体"/>
          <w:spacing w:val="-10"/>
          <w:sz w:val="36"/>
          <w:szCs w:val="36"/>
          <w:lang w:val="en-US" w:eastAsia="zh-CN"/>
        </w:rPr>
        <w:t>月20日</w:t>
      </w:r>
    </w:p>
    <w:p w14:paraId="4B0C0B19">
      <w:pPr>
        <w:spacing w:line="220" w:lineRule="auto"/>
        <w:rPr>
          <w:rFonts w:ascii="宋体" w:hAnsi="宋体" w:eastAsia="宋体" w:cs="宋体"/>
          <w:sz w:val="36"/>
          <w:szCs w:val="36"/>
        </w:rPr>
        <w:sectPr>
          <w:headerReference r:id="rId5" w:type="default"/>
          <w:pgSz w:w="11906" w:h="16839"/>
          <w:pgMar w:top="1097" w:right="1767" w:bottom="0" w:left="1768" w:header="1082" w:footer="0" w:gutter="0"/>
          <w:cols w:space="720" w:num="1"/>
        </w:sectPr>
      </w:pPr>
    </w:p>
    <w:p w14:paraId="007F5253">
      <w:pPr>
        <w:spacing w:before="91" w:line="220" w:lineRule="auto"/>
        <w:ind w:left="3778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10165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4"/>
        <w:tblW w:w="86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1557"/>
        <w:gridCol w:w="2121"/>
        <w:gridCol w:w="1698"/>
        <w:gridCol w:w="1561"/>
      </w:tblGrid>
      <w:tr w14:paraId="2ED96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2" w:type="dxa"/>
          </w:tcPr>
          <w:p w14:paraId="188FDF77">
            <w:pPr>
              <w:pStyle w:val="25"/>
              <w:spacing w:before="139" w:line="220" w:lineRule="auto"/>
              <w:ind w:left="224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37" w:type="dxa"/>
            <w:gridSpan w:val="4"/>
          </w:tcPr>
          <w:p w14:paraId="52638A96">
            <w:pPr>
              <w:pStyle w:val="25"/>
              <w:spacing w:before="139" w:line="220" w:lineRule="auto"/>
              <w:ind w:left="108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最终软件库</w:t>
            </w:r>
            <w:r>
              <w:rPr>
                <w:spacing w:val="-1"/>
              </w:rPr>
              <w:t>应用提升情况说明</w:t>
            </w:r>
          </w:p>
        </w:tc>
      </w:tr>
      <w:tr w14:paraId="256FC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2" w:type="dxa"/>
          </w:tcPr>
          <w:p w14:paraId="592BB559">
            <w:pPr>
              <w:pStyle w:val="25"/>
              <w:spacing w:before="136" w:line="220" w:lineRule="auto"/>
              <w:ind w:left="434"/>
            </w:pPr>
            <w:r>
              <w:rPr>
                <w:spacing w:val="-2"/>
              </w:rPr>
              <w:t>编制单位</w:t>
            </w:r>
          </w:p>
        </w:tc>
        <w:tc>
          <w:tcPr>
            <w:tcW w:w="6937" w:type="dxa"/>
            <w:gridSpan w:val="4"/>
          </w:tcPr>
          <w:p w14:paraId="4249FDED">
            <w:pPr>
              <w:pStyle w:val="25"/>
              <w:spacing w:before="13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 w14:paraId="2EED6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2" w:type="dxa"/>
          </w:tcPr>
          <w:p w14:paraId="693FCB33">
            <w:pPr>
              <w:pStyle w:val="25"/>
              <w:spacing w:before="139" w:line="219" w:lineRule="auto"/>
              <w:ind w:left="434"/>
            </w:pPr>
            <w:r>
              <w:rPr>
                <w:spacing w:val="-2"/>
              </w:rPr>
              <w:t>文档版本</w:t>
            </w:r>
          </w:p>
        </w:tc>
        <w:tc>
          <w:tcPr>
            <w:tcW w:w="1557" w:type="dxa"/>
          </w:tcPr>
          <w:p w14:paraId="1CA83BFA">
            <w:pPr>
              <w:pStyle w:val="25"/>
              <w:spacing w:before="139" w:line="219" w:lineRule="auto"/>
              <w:ind w:left="360"/>
            </w:pPr>
            <w:r>
              <w:rPr>
                <w:spacing w:val="-2"/>
              </w:rPr>
              <w:t>版本日期</w:t>
            </w:r>
          </w:p>
        </w:tc>
        <w:tc>
          <w:tcPr>
            <w:tcW w:w="2121" w:type="dxa"/>
          </w:tcPr>
          <w:p w14:paraId="681499D3">
            <w:pPr>
              <w:pStyle w:val="25"/>
              <w:spacing w:before="139" w:line="219" w:lineRule="auto"/>
              <w:ind w:left="645"/>
            </w:pPr>
            <w:r>
              <w:rPr>
                <w:spacing w:val="-2"/>
              </w:rPr>
              <w:t>版本说明</w:t>
            </w:r>
          </w:p>
        </w:tc>
        <w:tc>
          <w:tcPr>
            <w:tcW w:w="1698" w:type="dxa"/>
          </w:tcPr>
          <w:p w14:paraId="68EE4F37">
            <w:pPr>
              <w:pStyle w:val="25"/>
              <w:spacing w:before="139" w:line="220" w:lineRule="auto"/>
              <w:ind w:left="593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1" w:type="dxa"/>
          </w:tcPr>
          <w:p w14:paraId="1EF6618D">
            <w:pPr>
              <w:pStyle w:val="25"/>
              <w:spacing w:before="139" w:line="220" w:lineRule="auto"/>
              <w:ind w:left="586"/>
            </w:pPr>
            <w:r>
              <w:rPr>
                <w:spacing w:val="-5"/>
              </w:rPr>
              <w:t>审核</w:t>
            </w:r>
          </w:p>
        </w:tc>
      </w:tr>
      <w:tr w14:paraId="6DE60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2" w:type="dxa"/>
          </w:tcPr>
          <w:p w14:paraId="14DE1F15">
            <w:pPr>
              <w:pStyle w:val="25"/>
              <w:spacing w:before="104" w:line="239" w:lineRule="auto"/>
              <w:ind w:left="637"/>
            </w:pPr>
            <w:r>
              <w:rPr>
                <w:spacing w:val="-1"/>
              </w:rPr>
              <w:t>V1.0</w:t>
            </w:r>
          </w:p>
        </w:tc>
        <w:tc>
          <w:tcPr>
            <w:tcW w:w="1557" w:type="dxa"/>
          </w:tcPr>
          <w:p w14:paraId="06EFA1F8">
            <w:pPr>
              <w:pStyle w:val="25"/>
              <w:spacing w:before="104"/>
              <w:ind w:left="362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-20</w:t>
            </w:r>
          </w:p>
        </w:tc>
        <w:tc>
          <w:tcPr>
            <w:tcW w:w="2121" w:type="dxa"/>
          </w:tcPr>
          <w:p w14:paraId="1A142DCE">
            <w:pPr>
              <w:pStyle w:val="25"/>
              <w:spacing w:before="74" w:line="219" w:lineRule="auto"/>
              <w:ind w:left="647"/>
            </w:pPr>
            <w:r>
              <w:rPr>
                <w:spacing w:val="-3"/>
              </w:rPr>
              <w:t>发布版本</w:t>
            </w:r>
          </w:p>
        </w:tc>
        <w:tc>
          <w:tcPr>
            <w:tcW w:w="1698" w:type="dxa"/>
          </w:tcPr>
          <w:p w14:paraId="41F7D7AB">
            <w:pPr>
              <w:pStyle w:val="25"/>
              <w:spacing w:before="75" w:line="220" w:lineRule="auto"/>
              <w:ind w:left="55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561" w:type="dxa"/>
          </w:tcPr>
          <w:p w14:paraId="4A1E6276">
            <w:pPr>
              <w:pStyle w:val="25"/>
              <w:spacing w:before="74" w:line="220" w:lineRule="auto"/>
              <w:ind w:left="476"/>
            </w:pPr>
            <w:r>
              <w:rPr>
                <w:spacing w:val="-3"/>
              </w:rPr>
              <w:t>吴向阳</w:t>
            </w:r>
          </w:p>
        </w:tc>
      </w:tr>
      <w:tr w14:paraId="3DA41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2" w:type="dxa"/>
          </w:tcPr>
          <w:p w14:paraId="1B08A864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5CC6C59C">
            <w:pPr>
              <w:rPr>
                <w:rFonts w:ascii="Arial"/>
                <w:sz w:val="21"/>
              </w:rPr>
            </w:pPr>
          </w:p>
        </w:tc>
        <w:tc>
          <w:tcPr>
            <w:tcW w:w="2121" w:type="dxa"/>
          </w:tcPr>
          <w:p w14:paraId="0FF6D9A9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 w14:paraId="0B078F32">
            <w:pPr>
              <w:rPr>
                <w:rFonts w:ascii="Arial"/>
                <w:sz w:val="21"/>
              </w:rPr>
            </w:pPr>
          </w:p>
        </w:tc>
        <w:tc>
          <w:tcPr>
            <w:tcW w:w="1561" w:type="dxa"/>
          </w:tcPr>
          <w:p w14:paraId="5DF2DF86">
            <w:pPr>
              <w:rPr>
                <w:rFonts w:ascii="Arial"/>
                <w:sz w:val="21"/>
              </w:rPr>
            </w:pPr>
          </w:p>
        </w:tc>
      </w:tr>
      <w:tr w14:paraId="7E3F5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2" w:type="dxa"/>
          </w:tcPr>
          <w:p w14:paraId="47AE755F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9D0A63D">
            <w:pPr>
              <w:rPr>
                <w:rFonts w:ascii="Arial"/>
                <w:sz w:val="21"/>
              </w:rPr>
            </w:pPr>
          </w:p>
        </w:tc>
        <w:tc>
          <w:tcPr>
            <w:tcW w:w="2121" w:type="dxa"/>
          </w:tcPr>
          <w:p w14:paraId="3BB87FC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 w14:paraId="2F432E37">
            <w:pPr>
              <w:rPr>
                <w:rFonts w:ascii="Arial"/>
                <w:sz w:val="21"/>
              </w:rPr>
            </w:pPr>
          </w:p>
        </w:tc>
        <w:tc>
          <w:tcPr>
            <w:tcW w:w="1561" w:type="dxa"/>
          </w:tcPr>
          <w:p w14:paraId="5E3EDFC4">
            <w:pPr>
              <w:rPr>
                <w:rFonts w:ascii="Arial"/>
                <w:sz w:val="21"/>
              </w:rPr>
            </w:pPr>
          </w:p>
        </w:tc>
      </w:tr>
      <w:tr w14:paraId="09710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2" w:type="dxa"/>
          </w:tcPr>
          <w:p w14:paraId="738F18D7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8F58CB0">
            <w:pPr>
              <w:rPr>
                <w:rFonts w:ascii="Arial"/>
                <w:sz w:val="21"/>
              </w:rPr>
            </w:pPr>
          </w:p>
        </w:tc>
        <w:tc>
          <w:tcPr>
            <w:tcW w:w="2121" w:type="dxa"/>
          </w:tcPr>
          <w:p w14:paraId="564AF3AC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</w:tcPr>
          <w:p w14:paraId="5469E9E0">
            <w:pPr>
              <w:rPr>
                <w:rFonts w:ascii="Arial"/>
                <w:sz w:val="21"/>
              </w:rPr>
            </w:pPr>
          </w:p>
        </w:tc>
        <w:tc>
          <w:tcPr>
            <w:tcW w:w="1561" w:type="dxa"/>
          </w:tcPr>
          <w:p w14:paraId="56CA3CA8">
            <w:pPr>
              <w:rPr>
                <w:rFonts w:ascii="Arial"/>
                <w:sz w:val="21"/>
              </w:rPr>
            </w:pPr>
          </w:p>
        </w:tc>
      </w:tr>
    </w:tbl>
    <w:p w14:paraId="6CE2A9B9">
      <w:pPr>
        <w:pStyle w:val="12"/>
      </w:pPr>
    </w:p>
    <w:p w14:paraId="560A1AAD">
      <w:pPr>
        <w:sectPr>
          <w:headerReference r:id="rId6" w:type="default"/>
          <w:pgSz w:w="11906" w:h="16839"/>
          <w:pgMar w:top="1097" w:right="1627" w:bottom="0" w:left="1628" w:header="1082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3109"/>
        <w:docPartObj>
          <w:docPartGallery w:val="Table of Contents"/>
          <w:docPartUnique/>
        </w:docPartObj>
      </w:sdtPr>
      <w:sdtEndPr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1A71037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4080224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 w:val="24"/>
              <w:szCs w:val="24"/>
            </w:rPr>
            <w:fldChar w:fldCharType="begin"/>
          </w:r>
          <w:r>
            <w:rPr>
              <w:rFonts w:ascii="Cambria" w:hAnsi="Cambria" w:eastAsia="Cambria" w:cs="Cambria"/>
              <w:sz w:val="24"/>
              <w:szCs w:val="24"/>
            </w:rPr>
            <w:instrText xml:space="preserve">TOC \o "1-3" \h \u </w:instrText>
          </w:r>
          <w:r>
            <w:rPr>
              <w:rFonts w:ascii="Cambria" w:hAnsi="Cambria" w:eastAsia="Cambria" w:cs="Cambria"/>
              <w:sz w:val="24"/>
              <w:szCs w:val="24"/>
            </w:rPr>
            <w:fldChar w:fldCharType="separate"/>
          </w: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_Toc5513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</w:t>
          </w:r>
          <w:r>
            <w:t>应用提升情况说明</w:t>
          </w:r>
          <w:r>
            <w:tab/>
          </w:r>
          <w:r>
            <w:fldChar w:fldCharType="begin"/>
          </w:r>
          <w:r>
            <w:instrText xml:space="preserve"> PAGEREF _Toc5513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090988F9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_Toc18663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_Toc18663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3ACAAAEE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_Toc10165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_Toc10165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6C49E24A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_Toc19204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服务数据</w:t>
          </w:r>
          <w:r>
            <w:rPr>
              <w:rFonts w:hint="eastAsia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_Toc19204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771F9E65">
          <w:pPr>
            <w:pStyle w:val="16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_Toc25246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严格要求</w:t>
          </w:r>
          <w:r>
            <w:rPr>
              <w:rFonts w:hint="eastAsia"/>
              <w:lang w:val="en-US" w:eastAsia="zh-CN"/>
            </w:rPr>
            <w:t>服务数据管理</w:t>
          </w:r>
          <w:r>
            <w:rPr>
              <w:rFonts w:hint="eastAsia"/>
            </w:rPr>
            <w:t>工作</w:t>
          </w:r>
          <w:r>
            <w:tab/>
          </w:r>
          <w:r>
            <w:fldChar w:fldCharType="begin"/>
          </w:r>
          <w:r>
            <w:instrText xml:space="preserve"> PAGEREF _Toc25246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69B5C255">
          <w:pPr>
            <w:pStyle w:val="17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_Toc5420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数据采集</w:t>
          </w:r>
          <w:r>
            <w:tab/>
          </w:r>
          <w:r>
            <w:fldChar w:fldCharType="begin"/>
          </w:r>
          <w:r>
            <w:instrText xml:space="preserve"> PAGEREF _Toc5420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31E0EA1D">
          <w:pPr>
            <w:pStyle w:val="17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_Toc22432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/>
              <w:szCs w:val="24"/>
              <w:lang w:val="en-US" w:eastAsia="zh-CN"/>
            </w:rPr>
            <w:t xml:space="preserve">2.2. </w:t>
          </w:r>
          <w:r>
            <w:rPr>
              <w:rFonts w:hint="eastAsia"/>
              <w:szCs w:val="24"/>
              <w:lang w:val="en-US" w:eastAsia="zh-CN"/>
            </w:rPr>
            <w:t>数据分析</w:t>
          </w:r>
          <w:r>
            <w:tab/>
          </w:r>
          <w:r>
            <w:fldChar w:fldCharType="begin"/>
          </w:r>
          <w:r>
            <w:instrText xml:space="preserve"> PAGEREF _Toc22432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11C100E1">
          <w:pPr>
            <w:pStyle w:val="17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_Toc28508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/>
              <w:szCs w:val="24"/>
              <w:lang w:val="en-US" w:eastAsia="zh-CN"/>
            </w:rPr>
            <w:t xml:space="preserve">2.3. </w:t>
          </w:r>
          <w:r>
            <w:rPr>
              <w:rFonts w:hint="eastAsia"/>
              <w:szCs w:val="24"/>
              <w:lang w:val="en-US" w:eastAsia="zh-CN"/>
            </w:rPr>
            <w:t>指标完成情况</w:t>
          </w:r>
          <w:r>
            <w:tab/>
          </w:r>
          <w:r>
            <w:fldChar w:fldCharType="begin"/>
          </w:r>
          <w:r>
            <w:instrText xml:space="preserve"> PAGEREF _Toc28508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5A78FF33">
          <w:pPr>
            <w:pStyle w:val="17"/>
            <w:tabs>
              <w:tab w:val="right" w:leader="dot" w:pos="9724"/>
            </w:tabs>
          </w:pPr>
          <w:r>
            <w:rPr>
              <w:rFonts w:ascii="Cambria" w:hAnsi="Cambria" w:eastAsia="Cambria" w:cs="Cambria"/>
              <w:szCs w:val="24"/>
            </w:rPr>
            <w:fldChar w:fldCharType="begin"/>
          </w:r>
          <w:r>
            <w:rPr>
              <w:rFonts w:ascii="Cambria" w:hAnsi="Cambria" w:eastAsia="Cambria" w:cs="Cambria"/>
              <w:szCs w:val="24"/>
            </w:rPr>
            <w:instrText xml:space="preserve"> HYPERLINK \l _Toc650 </w:instrText>
          </w:r>
          <w:r>
            <w:rPr>
              <w:rFonts w:ascii="Cambria" w:hAnsi="Cambria" w:eastAsia="Cambria" w:cs="Cambria"/>
              <w:szCs w:val="24"/>
            </w:rPr>
            <w:fldChar w:fldCharType="separate"/>
          </w:r>
          <w:r>
            <w:rPr>
              <w:rFonts w:hint="default"/>
              <w:szCs w:val="24"/>
              <w:lang w:val="en-US" w:eastAsia="zh-CN"/>
            </w:rPr>
            <w:t xml:space="preserve">2.4. </w:t>
          </w:r>
          <w:r>
            <w:rPr>
              <w:rFonts w:hint="eastAsia"/>
              <w:szCs w:val="24"/>
              <w:lang w:val="en-US" w:eastAsia="zh-CN"/>
            </w:rPr>
            <w:t>问题改进</w:t>
          </w:r>
          <w:r>
            <w:tab/>
          </w:r>
          <w:r>
            <w:fldChar w:fldCharType="begin"/>
          </w:r>
          <w:r>
            <w:instrText xml:space="preserve"> PAGEREF _Toc650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hAnsi="Cambria" w:eastAsia="Cambria" w:cs="Cambria"/>
              <w:szCs w:val="24"/>
            </w:rPr>
            <w:fldChar w:fldCharType="end"/>
          </w:r>
        </w:p>
        <w:p w14:paraId="13327D1A">
          <w:pPr>
            <w:spacing w:line="220" w:lineRule="auto"/>
            <w:rPr>
              <w:rFonts w:ascii="Cambria" w:hAnsi="Cambria" w:eastAsia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mbria" w:hAnsi="Cambria" w:eastAsia="Cambria" w:cs="Cambria"/>
              <w:szCs w:val="24"/>
            </w:rPr>
            <w:fldChar w:fldCharType="end"/>
          </w:r>
        </w:p>
      </w:sdtContent>
    </w:sdt>
    <w:p w14:paraId="091D45A3">
      <w:pPr>
        <w:spacing w:line="220" w:lineRule="auto"/>
        <w:rPr>
          <w:rFonts w:ascii="Cambria" w:hAnsi="Cambria" w:eastAsia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r:id="rId7" w:type="default"/>
          <w:footerReference r:id="rId8" w:type="default"/>
          <w:pgSz w:w="11906" w:h="16839"/>
          <w:pgMar w:top="1240" w:right="1090" w:bottom="1157" w:left="1092" w:header="0" w:footer="990" w:gutter="0"/>
          <w:cols w:space="720" w:num="1"/>
        </w:sectPr>
      </w:pPr>
    </w:p>
    <w:p w14:paraId="14A5F777">
      <w:pPr>
        <w:pStyle w:val="26"/>
        <w:bidi w:val="0"/>
        <w:rPr>
          <w:rFonts w:hint="eastAsia"/>
        </w:rPr>
      </w:pPr>
      <w:bookmarkStart w:id="3" w:name="bookmark1"/>
      <w:bookmarkEnd w:id="3"/>
      <w:bookmarkStart w:id="4" w:name="_Toc19204"/>
      <w:r>
        <w:rPr>
          <w:rFonts w:hint="eastAsia"/>
          <w:lang w:val="en-US" w:eastAsia="zh-CN"/>
        </w:rPr>
        <w:t>服务数据</w:t>
      </w:r>
      <w:r>
        <w:rPr>
          <w:rFonts w:hint="eastAsia"/>
        </w:rPr>
        <w:t>概况</w:t>
      </w:r>
      <w:bookmarkEnd w:id="4"/>
    </w:p>
    <w:p w14:paraId="67E57CB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92" w:firstLineChars="200"/>
        <w:textAlignment w:val="baseline"/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随着公司《服务数据管理制度》的制定和实施，明确了流程执行原则，服务数据的使用和管理能力逐渐提升。服务数据是运维过程中产生的各类数据集合，包括系统性能数据（如 CPU 使用率、响应时间）、服务台工单数据（如故障类型、处理时长）、用户反馈数据等。其核心作用是 “驱动运维从‘被动响应 ’向‘主动优化 ’转型 ”。</w:t>
      </w:r>
    </w:p>
    <w:p w14:paraId="1F846DD5">
      <w:pPr>
        <w:pStyle w:val="26"/>
        <w:bidi w:val="0"/>
        <w:rPr>
          <w:rFonts w:hint="eastAsia"/>
        </w:rPr>
      </w:pPr>
      <w:bookmarkStart w:id="5" w:name="_Toc25246"/>
      <w:r>
        <w:rPr>
          <w:rFonts w:hint="eastAsia"/>
        </w:rPr>
        <w:t>严格要求</w:t>
      </w:r>
      <w:r>
        <w:rPr>
          <w:rFonts w:hint="eastAsia"/>
          <w:lang w:val="en-US" w:eastAsia="zh-CN"/>
        </w:rPr>
        <w:t>服务数据管理</w:t>
      </w:r>
      <w:r>
        <w:rPr>
          <w:rFonts w:hint="eastAsia"/>
        </w:rPr>
        <w:t>工作</w:t>
      </w:r>
      <w:bookmarkEnd w:id="5"/>
    </w:p>
    <w:p w14:paraId="41AE5797">
      <w:pPr>
        <w:pStyle w:val="28"/>
        <w:bidi w:val="0"/>
        <w:rPr>
          <w:rFonts w:hint="eastAsia"/>
          <w:lang w:val="en-US" w:eastAsia="zh-CN"/>
        </w:rPr>
      </w:pPr>
      <w:bookmarkStart w:id="6" w:name="_Toc5420"/>
      <w:r>
        <w:rPr>
          <w:rFonts w:hint="eastAsia"/>
          <w:lang w:val="en-US" w:eastAsia="zh-CN"/>
        </w:rPr>
        <w:t>数据采集</w:t>
      </w:r>
      <w:bookmarkEnd w:id="6"/>
    </w:p>
    <w:p w14:paraId="1BB10A6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采集范围：</w:t>
      </w:r>
    </w:p>
    <w:p w14:paraId="3E9C90E9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性能数据</w:t>
      </w:r>
    </w:p>
    <w:p w14:paraId="437AA2F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包括监控数据系统性能数据等。运用H3C智能管理中心进行性能数据采集</w:t>
      </w:r>
      <w:r>
        <w:drawing>
          <wp:inline distT="0" distB="0" distL="114300" distR="114300">
            <wp:extent cx="6039485" cy="215773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B745C">
      <w:r>
        <w:drawing>
          <wp:inline distT="0" distB="0" distL="114300" distR="114300">
            <wp:extent cx="5984240" cy="2971165"/>
            <wp:effectExtent l="0" t="0" r="5080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D0F3"/>
    <w:p w14:paraId="34336FA4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用户反馈数据</w:t>
      </w:r>
    </w:p>
    <w:p w14:paraId="21E141E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通过用户电话、邮件等方式获取数据</w:t>
      </w:r>
    </w:p>
    <w:p w14:paraId="21222098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bookmarkStart w:id="7" w:name="_Toc22432"/>
      <w:r>
        <w:rPr>
          <w:rFonts w:hint="eastAsia"/>
          <w:sz w:val="24"/>
          <w:szCs w:val="24"/>
          <w:lang w:val="en-US" w:eastAsia="zh-CN"/>
        </w:rPr>
        <w:t>数据分析</w:t>
      </w:r>
      <w:bookmarkEnd w:id="7"/>
    </w:p>
    <w:p w14:paraId="50BE41E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92" w:firstLineChars="200"/>
        <w:textAlignment w:val="baseline"/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通过对CPU使用率、响应时间等性能数据的分析，发现性能瓶颈并进行优化；</w:t>
      </w:r>
    </w:p>
    <w:p w14:paraId="2B430F5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92" w:firstLineChars="200"/>
        <w:textAlignment w:val="baseline"/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通过分析服务台工单提出的故障类型和工单大的处理时长，进行汇总，典型问题录入到知识库；</w:t>
      </w:r>
    </w:p>
    <w:p w14:paraId="41A6ADC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92" w:firstLineChars="200"/>
        <w:textAlignment w:val="baseline"/>
        <w:rPr>
          <w:rFonts w:hint="default" w:ascii="宋体" w:hAnsi="宋体" w:eastAsia="宋体" w:cs="宋体"/>
          <w:spacing w:val="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参考用户反馈数据在服务态度等方面进行改进，提高客户满意度</w:t>
      </w:r>
    </w:p>
    <w:p w14:paraId="4E64C3EF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bookmarkStart w:id="10" w:name="_GoBack"/>
      <w:bookmarkEnd w:id="10"/>
      <w:bookmarkStart w:id="8" w:name="_Toc28508"/>
      <w:r>
        <w:rPr>
          <w:rFonts w:hint="eastAsia"/>
          <w:sz w:val="24"/>
          <w:szCs w:val="24"/>
          <w:lang w:val="en-US" w:eastAsia="zh-CN"/>
        </w:rPr>
        <w:t>指标完成情况</w:t>
      </w:r>
      <w:bookmarkEnd w:id="8"/>
    </w:p>
    <w:p w14:paraId="066DADA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92" w:firstLineChars="200"/>
        <w:textAlignment w:val="baseline"/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运维服务能力管理指标体系中要求服务数据的季度分析利用次数≥1次，2025年第</w:t>
      </w:r>
      <w:r>
        <w:rPr>
          <w:rFonts w:hint="eastAsia" w:ascii="宋体" w:hAnsi="宋体" w:cs="宋体"/>
          <w:spacing w:val="3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、</w:t>
      </w:r>
      <w:r>
        <w:rPr>
          <w:rFonts w:hint="eastAsia" w:ascii="宋体" w:hAnsi="宋体" w:cs="宋体"/>
          <w:spacing w:val="3"/>
          <w:sz w:val="24"/>
          <w:szCs w:val="24"/>
          <w:lang w:val="en-US" w:eastAsia="zh-CN"/>
        </w:rPr>
        <w:t>三和四</w:t>
      </w: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季度服务数据分析利用次数分别为2次、1次</w:t>
      </w:r>
      <w:r>
        <w:rPr>
          <w:rFonts w:hint="eastAsia" w:ascii="宋体" w:hAnsi="宋体" w:cs="宋体"/>
          <w:spacing w:val="3"/>
          <w:sz w:val="24"/>
          <w:szCs w:val="24"/>
          <w:lang w:val="en-US" w:eastAsia="zh-CN"/>
        </w:rPr>
        <w:t>和1次</w:t>
      </w: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。达成指标要求，目前公司服务数据管理情况良好，但仍有提升的空间。</w:t>
      </w:r>
    </w:p>
    <w:p w14:paraId="22504B6D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bookmarkStart w:id="9" w:name="_Toc650"/>
      <w:r>
        <w:rPr>
          <w:rFonts w:hint="eastAsia"/>
          <w:sz w:val="24"/>
          <w:szCs w:val="24"/>
          <w:lang w:val="en-US" w:eastAsia="zh-CN"/>
        </w:rPr>
        <w:t>问题改进</w:t>
      </w:r>
      <w:bookmarkEnd w:id="9"/>
    </w:p>
    <w:p w14:paraId="2098083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92" w:firstLineChars="200"/>
        <w:textAlignment w:val="baseline"/>
        <w:rPr>
          <w:rFonts w:hint="default" w:ascii="宋体" w:hAnsi="宋体" w:eastAsia="宋体" w:cs="宋体"/>
          <w:spacing w:val="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3"/>
          <w:sz w:val="24"/>
          <w:szCs w:val="24"/>
          <w:lang w:val="en-US" w:eastAsia="zh-CN"/>
        </w:rPr>
        <w:t>数据孤岛现象依然存在，部分系统的数据尚未接入数据库汇总，导致数据分析的全面性受到影响。</w:t>
      </w:r>
    </w:p>
    <w:sectPr>
      <w:headerReference r:id="rId9" w:type="default"/>
      <w:footerReference r:id="rId10" w:type="default"/>
      <w:pgSz w:w="11906" w:h="16839"/>
      <w:pgMar w:top="1417" w:right="1305" w:bottom="885" w:left="1088" w:header="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F5C94">
    <w:pPr>
      <w:spacing w:line="178" w:lineRule="auto"/>
      <w:ind w:left="4822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A69A2">
    <w:pPr>
      <w:spacing w:line="177" w:lineRule="auto"/>
      <w:ind w:left="4827"/>
      <w:rPr>
        <w:rFonts w:ascii="Cambria" w:hAnsi="Cambria" w:eastAsia="Cambria" w:cs="Cambria"/>
        <w:sz w:val="18"/>
        <w:szCs w:val="18"/>
      </w:rPr>
    </w:pPr>
    <w:r>
      <w:rPr>
        <w:rFonts w:ascii="Cambria" w:hAnsi="Cambria" w:eastAsia="Cambria" w:cs="Cambria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DC657">
    <w:pPr>
      <w:pStyle w:val="12"/>
      <w:spacing w:line="52" w:lineRule="auto"/>
      <w:rPr>
        <w:sz w:val="2"/>
      </w:rPr>
    </w:pPr>
    <w:r>
      <w:pict>
        <v:shape id="_x0000_s4097" o:spid="_x0000_s4097" style="position:absolute;left:0pt;margin-left:88.4pt;margin-top:54.1pt;height:0.75pt;width:418.5pt;mso-position-horizontal-relative:page;mso-position-vertical-relative:page;z-index:251659264;mso-width-relative:page;mso-height-relative:page;" filled="f" stroked="t" coordsize="8370,15" o:allowincell="f" path="m0,7l8369,7e">
          <v:fill on="f" focussize="0,0"/>
          <v:stroke joinstyle="miter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F876E">
    <w:pPr>
      <w:pStyle w:val="12"/>
      <w:spacing w:line="52" w:lineRule="auto"/>
      <w:rPr>
        <w:sz w:val="2"/>
      </w:rPr>
    </w:pPr>
    <w:r>
      <w:pict>
        <v:shape id="_x0000_s4098" o:spid="_x0000_s4098" style="position:absolute;left:0pt;margin-left:88.4pt;margin-top:54.1pt;height:0.75pt;width:418.5pt;mso-position-horizontal-relative:page;mso-position-vertical-relative:page;z-index:251660288;mso-width-relative:page;mso-height-relative:page;" filled="f" stroked="t" coordsize="8370,15" o:allowincell="f" path="m0,7l8369,7e">
          <v:fill on="f" focussize="0,0"/>
          <v:stroke joinstyle="miter"/>
          <v:imagedata o:title=""/>
          <o:lock v:ext="edi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CCFAF">
    <w:pPr>
      <w:pStyle w:val="12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18BCD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3A042C7"/>
    <w:multiLevelType w:val="singleLevel"/>
    <w:tmpl w:val="D3A042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A37CB5"/>
    <w:rsid w:val="0C272694"/>
    <w:rsid w:val="38B745BD"/>
    <w:rsid w:val="39B76C2D"/>
    <w:rsid w:val="43036368"/>
    <w:rsid w:val="455D4CF8"/>
    <w:rsid w:val="47250EA9"/>
    <w:rsid w:val="486A6177"/>
    <w:rsid w:val="490517C1"/>
    <w:rsid w:val="4A4F4589"/>
    <w:rsid w:val="6BFA58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654</Words>
  <Characters>694</Characters>
  <Lines>0</Lines>
  <Paragraphs>0</Paragraphs>
  <TotalTime>0</TotalTime>
  <ScaleCrop>false</ScaleCrop>
  <LinksUpToDate>false</LinksUpToDate>
  <CharactersWithSpaces>734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2025-08-19T16:09:00Z</dcterms:created>
  <dc:creator>健 张</dc:creator>
  <cp:lastModifiedBy>郝宇</cp:lastModifiedBy>
  <dcterms:modified xsi:type="dcterms:W3CDTF">2026-02-10T07:26:15Z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2025-08-19T16:30:13Z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EA03877D88BA48329BBA99C646CC4FBF_12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