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7B16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38FAD1A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1DC38B3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0" w:name="_Toc15809"/>
      <w:r>
        <w:rPr>
          <w:rFonts w:hint="eastAsia"/>
        </w:rPr>
        <w:t>盐都区新能源汽车充电站建设项目</w:t>
      </w:r>
      <w:bookmarkEnd w:id="0"/>
    </w:p>
    <w:p w14:paraId="5F650CF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bookmarkStart w:id="1" w:name="_Toc18772"/>
      <w:r>
        <w:rPr>
          <w:rFonts w:hint="eastAsia"/>
          <w:lang w:val="en-US" w:eastAsia="zh-CN"/>
        </w:rPr>
        <w:t>交付实施</w:t>
      </w:r>
      <w:bookmarkEnd w:id="1"/>
      <w:r>
        <w:rPr>
          <w:rFonts w:hint="eastAsia"/>
          <w:lang w:val="en-US" w:eastAsia="zh-CN"/>
        </w:rPr>
        <w:t>计划</w:t>
      </w:r>
    </w:p>
    <w:p w14:paraId="106E1C6A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16916"/>
      <w:r>
        <w:t>中达丰集团有限公司</w:t>
      </w:r>
      <w:bookmarkEnd w:id="2"/>
    </w:p>
    <w:p w14:paraId="3A874F9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宋体" w:hAnsi="宋体" w:eastAsia="宋体" w:cs="宋体"/>
          <w:sz w:val="30"/>
          <w:szCs w:val="30"/>
        </w:rPr>
      </w:pPr>
    </w:p>
    <w:p w14:paraId="5E8B34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jc w:val="center"/>
        <w:textAlignment w:val="baseline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2025年</w:t>
      </w:r>
      <w:r>
        <w:rPr>
          <w:rFonts w:hint="eastAsia" w:ascii="宋体" w:hAnsi="宋体" w:cs="宋体"/>
          <w:sz w:val="30"/>
          <w:szCs w:val="30"/>
          <w:lang w:val="en-US" w:eastAsia="zh-CN"/>
        </w:rPr>
        <w:t>4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月</w:t>
      </w: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0日</w:t>
      </w:r>
    </w:p>
    <w:p w14:paraId="69D29A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6" w:line="220" w:lineRule="auto"/>
        <w:ind w:left="3620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3" w:name="_Toc5213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16250CD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24"/>
        <w:tblW w:w="9071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7F8F0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479CEC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05C6F7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18" w:lineRule="auto"/>
              <w:ind w:left="109"/>
              <w:textAlignment w:val="baseline"/>
            </w:pPr>
            <w:r>
              <w:rPr>
                <w:rFonts w:hint="eastAsia"/>
                <w:lang w:val="en-US" w:eastAsia="zh-CN"/>
              </w:rPr>
              <w:t>交付实施计划</w:t>
            </w:r>
            <w:r>
              <w:t>（ZDFJT-ITS</w:t>
            </w:r>
            <w:r>
              <w:rPr>
                <w:spacing w:val="-1"/>
              </w:rPr>
              <w:t>S-</w:t>
            </w:r>
            <w:r>
              <w:rPr>
                <w:rFonts w:hint="eastAsia"/>
                <w:spacing w:val="-1"/>
                <w:lang w:val="en-US" w:eastAsia="zh-CN"/>
              </w:rPr>
              <w:t>JFSSJH</w:t>
            </w:r>
            <w:r>
              <w:rPr>
                <w:spacing w:val="-1"/>
              </w:rPr>
              <w:t>）</w:t>
            </w:r>
          </w:p>
        </w:tc>
      </w:tr>
      <w:tr w14:paraId="31B39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15DB6A1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</w:pPr>
            <w:r>
              <w:rPr>
                <w:spacing w:val="-3"/>
              </w:rPr>
              <w:t>编制单位</w:t>
            </w:r>
          </w:p>
        </w:tc>
        <w:tc>
          <w:tcPr>
            <w:tcW w:w="7225" w:type="dxa"/>
            <w:gridSpan w:val="4"/>
          </w:tcPr>
          <w:p w14:paraId="2A7784A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</w:pPr>
            <w:r>
              <w:rPr>
                <w:spacing w:val="-1"/>
              </w:rPr>
              <w:t>中达丰集团有限公司</w:t>
            </w:r>
          </w:p>
        </w:tc>
      </w:tr>
      <w:tr w14:paraId="1D5BA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4DFC47D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447"/>
              <w:textAlignment w:val="baseline"/>
            </w:pPr>
            <w:r>
              <w:rPr>
                <w:spacing w:val="-3"/>
              </w:rPr>
              <w:t>文档版本</w:t>
            </w:r>
          </w:p>
        </w:tc>
        <w:tc>
          <w:tcPr>
            <w:tcW w:w="1413" w:type="dxa"/>
          </w:tcPr>
          <w:p w14:paraId="32EF0DE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229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6674189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676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373382C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546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63413A1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755"/>
              <w:textAlignment w:val="baseline"/>
            </w:pPr>
            <w:r>
              <w:rPr>
                <w:spacing w:val="-6"/>
              </w:rPr>
              <w:t>审核</w:t>
            </w:r>
          </w:p>
        </w:tc>
      </w:tr>
      <w:tr w14:paraId="11D74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062140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680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72DF501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171"/>
              <w:textAlignment w:val="baseline"/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0</w:t>
            </w:r>
          </w:p>
        </w:tc>
        <w:tc>
          <w:tcPr>
            <w:tcW w:w="2302" w:type="dxa"/>
          </w:tcPr>
          <w:p w14:paraId="440580B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19" w:lineRule="auto"/>
              <w:ind w:left="679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1205929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458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 w14:paraId="208C90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20" w:lineRule="auto"/>
              <w:ind w:left="635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吴向阳</w:t>
            </w:r>
          </w:p>
        </w:tc>
      </w:tr>
      <w:tr w14:paraId="550FE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354121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65BEF4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1647C9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FBEAD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7E6761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1CE42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846" w:type="dxa"/>
          </w:tcPr>
          <w:p w14:paraId="25EF84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1309DD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534B54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72D3F2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EE46C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5796DD31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06471D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029" w:bottom="0" w:left="1785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0670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18CBE51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92298A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_Toc15809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</w:rPr>
            <w:t>盐都区新能源汽车充电站建设项目</w:t>
          </w:r>
          <w:r>
            <w:tab/>
          </w:r>
          <w:r>
            <w:fldChar w:fldCharType="begin"/>
          </w:r>
          <w:r>
            <w:instrText xml:space="preserve"> PAGEREF _Toc15809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3FF365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_Toc18772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交付实施方案</w:t>
          </w:r>
          <w:r>
            <w:tab/>
          </w:r>
          <w:r>
            <w:fldChar w:fldCharType="begin"/>
          </w:r>
          <w:r>
            <w:instrText xml:space="preserve"> PAGEREF _Toc18772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F86181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_Toc16916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_Toc16916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119FFC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_Toc5213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_Toc5213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C3AB1E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_Toc31505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项目概述与交付目标</w:t>
          </w:r>
          <w:r>
            <w:tab/>
          </w:r>
          <w:r>
            <w:fldChar w:fldCharType="begin"/>
          </w:r>
          <w:r>
            <w:instrText xml:space="preserve"> PAGEREF _Toc31505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8D8AC0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_Toc13497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项目组织架构与职责分工</w:t>
          </w:r>
          <w:r>
            <w:tab/>
          </w:r>
          <w:r>
            <w:fldChar w:fldCharType="begin"/>
          </w:r>
          <w:r>
            <w:instrText xml:space="preserve"> PAGEREF _Toc13497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06F06C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_Toc27431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详细实施计划与时间表</w:t>
          </w:r>
          <w:r>
            <w:tab/>
          </w:r>
          <w:r>
            <w:fldChar w:fldCharType="begin"/>
          </w:r>
          <w:r>
            <w:instrText xml:space="preserve"> PAGEREF _Toc27431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6D593EB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_Toc22427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关键技术标准与质量保障措施</w:t>
          </w:r>
          <w:r>
            <w:tab/>
          </w:r>
          <w:r>
            <w:fldChar w:fldCharType="begin"/>
          </w:r>
          <w:r>
            <w:instrText xml:space="preserve"> PAGEREF _Toc22427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B2EECC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_Toc30004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沟通与协调机制</w:t>
          </w:r>
          <w:r>
            <w:tab/>
          </w:r>
          <w:r>
            <w:fldChar w:fldCharType="begin"/>
          </w:r>
          <w:r>
            <w:instrText xml:space="preserve"> PAGEREF _Toc30004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E5B7C0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_Toc31998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后期运维支持承诺（质保期）</w:t>
          </w:r>
          <w:r>
            <w:tab/>
          </w:r>
          <w:r>
            <w:fldChar w:fldCharType="begin"/>
          </w:r>
          <w:r>
            <w:instrText xml:space="preserve"> PAGEREF _Toc31998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37FB28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宋体" w:hAnsi="宋体" w:eastAsia="宋体" w:cs="宋体"/>
              <w:szCs w:val="24"/>
            </w:rPr>
            <w:fldChar w:fldCharType="end"/>
          </w:r>
        </w:p>
      </w:sdtContent>
    </w:sdt>
    <w:p w14:paraId="24E6798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1AAFDD60"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项目核心信息</w:t>
      </w:r>
    </w:p>
    <w:tbl>
      <w:tblPr>
        <w:tblW w:w="874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7"/>
        <w:gridCol w:w="7575"/>
      </w:tblGrid>
      <w:tr w14:paraId="23387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6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5B87D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项目要素</w:t>
            </w:r>
          </w:p>
        </w:tc>
        <w:tc>
          <w:tcPr>
            <w:tcW w:w="757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A2E6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具体内容</w:t>
            </w:r>
          </w:p>
        </w:tc>
      </w:tr>
      <w:tr w14:paraId="3E832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3EDF9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项目名称</w:t>
            </w:r>
          </w:p>
        </w:tc>
        <w:tc>
          <w:tcPr>
            <w:tcW w:w="7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84499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盐都区新能源汽车充电站建设项目</w:t>
            </w:r>
          </w:p>
        </w:tc>
      </w:tr>
      <w:tr w14:paraId="44CA7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DFA72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合同双方</w:t>
            </w:r>
          </w:p>
        </w:tc>
        <w:tc>
          <w:tcPr>
            <w:tcW w:w="7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66BD9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甲方： 盐都区发展和改革局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乙方： 中达丰集团有限公司</w:t>
            </w:r>
          </w:p>
        </w:tc>
      </w:tr>
      <w:tr w14:paraId="02F23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43387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建设规模</w:t>
            </w:r>
          </w:p>
        </w:tc>
        <w:tc>
          <w:tcPr>
            <w:tcW w:w="7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28667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共计60个新能源汽车充电桩（具体型号、功率根据最终技术方案确定），配套建设电力、监控、网络、消防等设施。</w:t>
            </w:r>
          </w:p>
        </w:tc>
      </w:tr>
      <w:tr w14:paraId="347B8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E1BA7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合同范围</w:t>
            </w:r>
          </w:p>
        </w:tc>
        <w:tc>
          <w:tcPr>
            <w:tcW w:w="7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0E14F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设计（初步、施工图）、采购、施工、安装、调试、试运行、竣工验收及质保期运维。</w:t>
            </w:r>
          </w:p>
        </w:tc>
      </w:tr>
      <w:tr w14:paraId="782F7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77B2B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交付总目标</w:t>
            </w:r>
          </w:p>
        </w:tc>
        <w:tc>
          <w:tcPr>
            <w:tcW w:w="7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11C7E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按合同约定期限，高质量完成全部60个充电桩的建设与调试，并通过甲方最终验收，实现项目整体移交。</w:t>
            </w:r>
          </w:p>
        </w:tc>
      </w:tr>
      <w:tr w14:paraId="23337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66C76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核心约束</w:t>
            </w:r>
          </w:p>
        </w:tc>
        <w:tc>
          <w:tcPr>
            <w:tcW w:w="75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FC2CB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固定总价包干，需严格在合同工期内完成，延期将面临每日0.1%的违约金。</w:t>
            </w:r>
          </w:p>
        </w:tc>
      </w:tr>
    </w:tbl>
    <w:p w14:paraId="55EFC176"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关键里程碑</w:t>
      </w:r>
    </w:p>
    <w:p w14:paraId="629DCB1C">
      <w:pPr>
        <w:pStyle w:val="27"/>
        <w:bidi w:val="0"/>
        <w:rPr>
          <w:rFonts w:hint="default"/>
        </w:rPr>
      </w:pPr>
      <w:r>
        <w:t>以下计划以</w:t>
      </w:r>
      <w:r>
        <w:rPr>
          <w:rFonts w:hint="default"/>
        </w:rPr>
        <w:t> 合同签订日为基准日（T日）进行推演，确保满足合同要求</w:t>
      </w:r>
    </w:p>
    <w:tbl>
      <w:tblPr>
        <w:tblW w:w="951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1"/>
        <w:gridCol w:w="1172"/>
        <w:gridCol w:w="1298"/>
        <w:gridCol w:w="3030"/>
        <w:gridCol w:w="1710"/>
        <w:gridCol w:w="1795"/>
      </w:tblGrid>
      <w:tr w14:paraId="53272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1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BD710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1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3435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关键里程碑</w:t>
            </w:r>
          </w:p>
        </w:tc>
        <w:tc>
          <w:tcPr>
            <w:tcW w:w="12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75D6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计划起止时间</w:t>
            </w:r>
          </w:p>
        </w:tc>
        <w:tc>
          <w:tcPr>
            <w:tcW w:w="30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0AE5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必须完成的交付成果</w:t>
            </w:r>
          </w:p>
        </w:tc>
        <w:tc>
          <w:tcPr>
            <w:tcW w:w="17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D55F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负责人/主责岗位</w:t>
            </w:r>
          </w:p>
        </w:tc>
        <w:tc>
          <w:tcPr>
            <w:tcW w:w="179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29C9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关联外部活动/备注</w:t>
            </w:r>
          </w:p>
        </w:tc>
      </w:tr>
      <w:tr w14:paraId="32F87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8C2F7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M1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E53E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项目启动与合同签订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73AE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2025.04.01 - 2025.04.07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8258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项目章程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正式合同签署生效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D11B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副总经理、运维项目经理</w:t>
            </w:r>
          </w:p>
        </w:tc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0B50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内部启动会，明确团队职责。</w:t>
            </w:r>
          </w:p>
        </w:tc>
      </w:tr>
      <w:tr w14:paraId="7B295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A9666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M2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8EAE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深化设计与审查通过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AB09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2025.04.08 - 2025.05.31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5E2B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现场勘察报告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全套施工图设计文件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 设计审查合格报告（甲方确认）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34D4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运维项目经理、技术支持工程师</w:t>
            </w:r>
          </w:p>
        </w:tc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F53DB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关键付款节点（建议合同约定）。</w:t>
            </w:r>
          </w:p>
        </w:tc>
      </w:tr>
      <w:tr w14:paraId="3D6CD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DE256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M3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DC04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主要设备采购合同签订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97E2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2025.06.01 - 2025.06.30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A215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设备采购清单与技术协议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核心设备采购合同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2595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运维项目经理、采购专员</w:t>
            </w:r>
          </w:p>
        </w:tc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F44F3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启动长周期设备生产。</w:t>
            </w:r>
          </w:p>
        </w:tc>
      </w:tr>
      <w:tr w14:paraId="34FB6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85481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M4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7002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全部设备到场验收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B01E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2025.09.01（前）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57EE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所有设备到货验收单（甲方签章）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设备合格证、检测报告归档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E221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运维项目经理、采购专员、运维实施工程师</w:t>
            </w:r>
          </w:p>
        </w:tc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9BA51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关键付款节点，现场具备安装条件。</w:t>
            </w:r>
          </w:p>
        </w:tc>
      </w:tr>
      <w:tr w14:paraId="5851E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C225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M5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B91A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现场施工与安装完成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1CB4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2025.09.01 - 2025.12.31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CF8C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基础施工验收记录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设备安装调试记录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隐蔽工程影像资料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3375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运维实施工程师、基础环境/网络工程师</w:t>
            </w:r>
          </w:p>
        </w:tc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EF40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冬季来临前完成主要户外作业。</w:t>
            </w:r>
          </w:p>
        </w:tc>
      </w:tr>
      <w:tr w14:paraId="3AFA4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BE91E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M6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B76E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系统联调与试运行启动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8D09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2026.01.01 - 2026.01.31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C5DE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系统联调测试报告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试运行启动确认书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8E8A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软件运维工程师、运维实施工程师</w:t>
            </w:r>
          </w:p>
        </w:tc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1988D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开始为期≥30天的试运行。</w:t>
            </w:r>
          </w:p>
        </w:tc>
      </w:tr>
      <w:tr w14:paraId="1B3D1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E307D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M7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566D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试运行结束与竣工预验收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96BA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2026.02.01 - 2026.02.28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949D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≥30天试运行报告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竣工资料初稿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内部预验收问题清单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78D5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运维项目经理、质量部</w:t>
            </w:r>
          </w:p>
        </w:tc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10738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内部审计，问题整改闭环。</w:t>
            </w:r>
          </w:p>
        </w:tc>
      </w:tr>
      <w:tr w14:paraId="0B821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E2C19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M8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5432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项目正式竣工验收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86C5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2026.03.01 - 2026.03.20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7A34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 最终竣工验收报告（甲方签章）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完整竣工图及资料包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资产移交清单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28CC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运维项目经理、副总经理</w:t>
            </w:r>
          </w:p>
        </w:tc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921BD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关键付款节点，申请组织正式验收。</w:t>
            </w:r>
          </w:p>
        </w:tc>
      </w:tr>
      <w:tr w14:paraId="5AF2F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D84A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M9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E0E7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项目移交与运维接管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F47D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2026.03.21 - 2026.03.31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4D9C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运维手册、培训记录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服务台交接确认单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项目总结报告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CB51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运维项目经理、服务台经理、服务知识经理</w:t>
            </w:r>
          </w:p>
        </w:tc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A4924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对甲方培训，知识入库，服务台上线。</w:t>
            </w:r>
          </w:p>
        </w:tc>
      </w:tr>
    </w:tbl>
    <w:p w14:paraId="78A9327F"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岗位职责分解</w:t>
      </w:r>
    </w:p>
    <w:tbl>
      <w:tblPr>
        <w:tblW w:w="878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8"/>
        <w:gridCol w:w="630"/>
        <w:gridCol w:w="3030"/>
        <w:gridCol w:w="2301"/>
        <w:gridCol w:w="1406"/>
      </w:tblGrid>
      <w:tr w14:paraId="6EE21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0" w:hRule="atLeast"/>
          <w:tblHeader/>
          <w:jc w:val="center"/>
        </w:trPr>
        <w:tc>
          <w:tcPr>
            <w:tcW w:w="141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FC847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6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DF8E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30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C46C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主要工作内容分解</w:t>
            </w:r>
          </w:p>
        </w:tc>
        <w:tc>
          <w:tcPr>
            <w:tcW w:w="23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9965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核心执行团队</w:t>
            </w:r>
          </w:p>
        </w:tc>
        <w:tc>
          <w:tcPr>
            <w:tcW w:w="14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E50F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支持与监督</w:t>
            </w:r>
          </w:p>
        </w:tc>
      </w:tr>
      <w:tr w14:paraId="740DA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E143B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第一阶段：设计规划 (2025.04-05)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B338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2个月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E9C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现场详细踏勘，点位最终确认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完成施工图设计及内部评审。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提交甲方审查并取得批复。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编制初步采购清单。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3BE4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主责： 技术支持工程师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管理： 运维项目经理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16BF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质量部参与设计评审。</w:t>
            </w:r>
          </w:p>
        </w:tc>
      </w:tr>
      <w:tr w14:paraId="2F492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33D1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第二阶段：采购与准备 (2025.06-08)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EB36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3个月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DA8E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完成全部设备、材料招标采购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签订合同，跟踪生产进度，进行厂验。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办理施工前期手续（报建、许可）。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施工队进场准备，技术交底。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2980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主责： 采购专员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协调： 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技术： 技术支持工程师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CB853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财务部支持付款流程。</w:t>
            </w:r>
          </w:p>
        </w:tc>
      </w:tr>
      <w:tr w14:paraId="0EE71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2E482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第三阶段：全面施工 (2025.09-12)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6911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4个月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935F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站点基础、电缆、接地等施工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充电桩体、配电柜等设备安装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网络、监控系统布线与安装。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分阶段进行设备单体上电调试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89C1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主力： 运维实施工程师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专业： 基础环境/网络工程师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管理： 运维项目经理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BE000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质量部进行关键节点抽查。</w:t>
            </w:r>
          </w:p>
        </w:tc>
      </w:tr>
      <w:tr w14:paraId="1A464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C6D35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第四阶段：调试试运行 (2026.01-02)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1129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2个月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70C9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完成全系统联调，功能性能测试。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运营管理平台部署与数据对接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开始为期30天以上连续试运行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根据试运行结果进行最终优化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1409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主责： 软件运维工程师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支持： 运维实施工程师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8E645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服务台经理开始了解系统。</w:t>
            </w:r>
          </w:p>
        </w:tc>
      </w:tr>
      <w:tr w14:paraId="2D061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148B7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第五阶段：验收移交 (2026.03)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926C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1个月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6188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整理编制全部竣工文档。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组织内部预验收，整改问题。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申请并配合甲方完成正式验收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资产移交、用户培训、知识入库。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5. 服务台正式接入，开启质保服务。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A1E4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总负责： 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参与： 全体核心团队、质量部、服务知识经理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F45AA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副总经理出席最终验收。</w:t>
            </w:r>
          </w:p>
        </w:tc>
      </w:tr>
    </w:tbl>
    <w:p w14:paraId="39DA1A88">
      <w:pPr>
        <w:pStyle w:val="27"/>
        <w:rPr>
          <w:rFonts w:hint="eastAsia"/>
          <w:lang w:val="en-US" w:eastAsia="zh-CN"/>
        </w:rPr>
      </w:pPr>
    </w:p>
    <w:p w14:paraId="6201CD6B"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核心风险控制与保障措施</w:t>
      </w:r>
    </w:p>
    <w:tbl>
      <w:tblPr>
        <w:tblW w:w="874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1147"/>
        <w:gridCol w:w="4876"/>
        <w:gridCol w:w="1740"/>
      </w:tblGrid>
      <w:tr w14:paraId="012F0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7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8982E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风险类别</w:t>
            </w:r>
          </w:p>
        </w:tc>
        <w:tc>
          <w:tcPr>
            <w:tcW w:w="114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095F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具体风险</w:t>
            </w:r>
          </w:p>
        </w:tc>
        <w:tc>
          <w:tcPr>
            <w:tcW w:w="48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1526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应对策略</w:t>
            </w:r>
          </w:p>
        </w:tc>
        <w:tc>
          <w:tcPr>
            <w:tcW w:w="174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AE56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责任人</w:t>
            </w:r>
          </w:p>
        </w:tc>
      </w:tr>
      <w:tr w14:paraId="3D850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9691D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进度风险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BBFB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设备供货延迟</w:t>
            </w:r>
          </w:p>
        </w:tc>
        <w:tc>
          <w:tcPr>
            <w:tcW w:w="48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D51D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采购合同中明确罚则，在2025年6月前锁定关键设备订单，项目经理每周跟踪生产进度。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D8EA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采购专员、运维项目经理</w:t>
            </w:r>
          </w:p>
        </w:tc>
      </w:tr>
      <w:tr w14:paraId="049D4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3CA7B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质量风险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C632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施工不符合规范</w:t>
            </w:r>
          </w:p>
        </w:tc>
        <w:tc>
          <w:tcPr>
            <w:tcW w:w="48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A40B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严格执行施工方案交底，基础环境运维工程师现场监督，质量部对隐蔽工程进行突击检查。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76F1F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基础环境运维工程师、质量部</w:t>
            </w:r>
          </w:p>
        </w:tc>
      </w:tr>
      <w:tr w14:paraId="30EF1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70C4A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沟通风险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44A9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甲方需求变更</w:t>
            </w:r>
          </w:p>
        </w:tc>
        <w:tc>
          <w:tcPr>
            <w:tcW w:w="48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8825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所有变更必须经运维项目经理书面提出，由副总经理评估成本与工期影响后，与甲方签署补充协议。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8D31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运维项目经理、副总经理</w:t>
            </w:r>
          </w:p>
        </w:tc>
      </w:tr>
      <w:tr w14:paraId="28E9A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A6863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验收风险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9786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竣工资料不全</w:t>
            </w:r>
          </w:p>
        </w:tc>
        <w:tc>
          <w:tcPr>
            <w:tcW w:w="48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004C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软件运维工程师与运维项目经理从项目启动即开始同步整理文档，质量部在预验收阶段专项审计文档。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9F81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软件运维工程师、运维项目经理</w:t>
            </w:r>
          </w:p>
        </w:tc>
      </w:tr>
      <w:tr w14:paraId="3FD3B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20C45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运维风险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9F3E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移交后支持脱节</w:t>
            </w:r>
          </w:p>
        </w:tc>
        <w:tc>
          <w:tcPr>
            <w:tcW w:w="48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F317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服务台经理在试运行阶段即介入，服务知识经理全程参与文档编制并完成知识入库。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61C7F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服务台经理、服务知识经理</w:t>
            </w:r>
          </w:p>
        </w:tc>
      </w:tr>
    </w:tbl>
    <w:p w14:paraId="69E4620A">
      <w:pPr>
        <w:pStyle w:val="2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沟通与回报机制</w:t>
      </w:r>
    </w:p>
    <w:p w14:paraId="582C960E">
      <w:pPr>
        <w:pStyle w:val="27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项目周会：每周一上午，由运维项目经理主持，核心实施团队参加，跟踪任务，解决问题。</w:t>
      </w:r>
    </w:p>
    <w:p w14:paraId="44C57567">
      <w:pPr>
        <w:pStyle w:val="27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月度汇报：每月最后一周，运维项目经理向运维部经理和副总经理提交书面月报，汇报进度、成本、风险及下月计划。</w:t>
      </w:r>
    </w:p>
    <w:p w14:paraId="7CFA66D3">
      <w:pPr>
        <w:pStyle w:val="27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里程碑评审会：在每个里程碑（M2, M4, M7, M8）完成后3日内，由副总经理或运维部经理主持召开评审会，决定是否进入下一阶段。</w:t>
      </w:r>
    </w:p>
    <w:p w14:paraId="16366914">
      <w:pPr>
        <w:pStyle w:val="27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紧急升级路径：现场重大问题 → 运维项目经理 → 运维部经理 → 副总经理。确保2小时内响应升级。</w:t>
      </w:r>
      <w:bookmarkStart w:id="4" w:name="_GoBack"/>
      <w:bookmarkEnd w:id="4"/>
    </w:p>
    <w:sectPr>
      <w:footerReference r:id="rId5" w:type="default"/>
      <w:pgSz w:w="11906" w:h="16839"/>
      <w:pgMar w:top="1431" w:right="1595" w:bottom="1473" w:left="1785" w:header="0" w:footer="122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839DD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3F5101F"/>
    <w:multiLevelType w:val="singleLevel"/>
    <w:tmpl w:val="43F510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91060D"/>
    <w:rsid w:val="01C60793"/>
    <w:rsid w:val="02144177"/>
    <w:rsid w:val="02F53218"/>
    <w:rsid w:val="03ED5F26"/>
    <w:rsid w:val="03FE7173"/>
    <w:rsid w:val="04C133B2"/>
    <w:rsid w:val="07B02B10"/>
    <w:rsid w:val="09862E1C"/>
    <w:rsid w:val="09FB69A5"/>
    <w:rsid w:val="0A5126DF"/>
    <w:rsid w:val="0AB35B63"/>
    <w:rsid w:val="0B2E5519"/>
    <w:rsid w:val="0BDE588B"/>
    <w:rsid w:val="0C3737A1"/>
    <w:rsid w:val="0C5B0590"/>
    <w:rsid w:val="0CAF61E6"/>
    <w:rsid w:val="0CE438D3"/>
    <w:rsid w:val="0DA73361"/>
    <w:rsid w:val="104079A4"/>
    <w:rsid w:val="11561326"/>
    <w:rsid w:val="12F47048"/>
    <w:rsid w:val="16ED44DA"/>
    <w:rsid w:val="1721492C"/>
    <w:rsid w:val="188D7C5B"/>
    <w:rsid w:val="196B2580"/>
    <w:rsid w:val="1A70446A"/>
    <w:rsid w:val="1BBD74D6"/>
    <w:rsid w:val="1BC81262"/>
    <w:rsid w:val="1C625023"/>
    <w:rsid w:val="1CF55E97"/>
    <w:rsid w:val="1EF26B32"/>
    <w:rsid w:val="20484530"/>
    <w:rsid w:val="21DD7E45"/>
    <w:rsid w:val="22C34341"/>
    <w:rsid w:val="23E66539"/>
    <w:rsid w:val="246D6B15"/>
    <w:rsid w:val="270D0281"/>
    <w:rsid w:val="28B17A6C"/>
    <w:rsid w:val="2913307B"/>
    <w:rsid w:val="29DA6B40"/>
    <w:rsid w:val="2BB60F80"/>
    <w:rsid w:val="2CB92267"/>
    <w:rsid w:val="2D7E3C87"/>
    <w:rsid w:val="2DD90EBD"/>
    <w:rsid w:val="2E953036"/>
    <w:rsid w:val="30E052E7"/>
    <w:rsid w:val="31815AF3"/>
    <w:rsid w:val="31872DB7"/>
    <w:rsid w:val="33AF4B9A"/>
    <w:rsid w:val="345C4021"/>
    <w:rsid w:val="353115DE"/>
    <w:rsid w:val="37660B99"/>
    <w:rsid w:val="391536F1"/>
    <w:rsid w:val="39921DDC"/>
    <w:rsid w:val="39AA5818"/>
    <w:rsid w:val="3A246042"/>
    <w:rsid w:val="3A2D6818"/>
    <w:rsid w:val="3A863CF1"/>
    <w:rsid w:val="3B814871"/>
    <w:rsid w:val="3C19028A"/>
    <w:rsid w:val="3C371BD0"/>
    <w:rsid w:val="3C5A3D43"/>
    <w:rsid w:val="3E4E3201"/>
    <w:rsid w:val="3E854E75"/>
    <w:rsid w:val="3F870779"/>
    <w:rsid w:val="41006A35"/>
    <w:rsid w:val="413C5988"/>
    <w:rsid w:val="421D66E1"/>
    <w:rsid w:val="428217D4"/>
    <w:rsid w:val="42C729C3"/>
    <w:rsid w:val="448B59E3"/>
    <w:rsid w:val="44FF0DB1"/>
    <w:rsid w:val="46207ACD"/>
    <w:rsid w:val="471660D6"/>
    <w:rsid w:val="47B9793D"/>
    <w:rsid w:val="4A1C606C"/>
    <w:rsid w:val="4B3A6FE7"/>
    <w:rsid w:val="4B49722A"/>
    <w:rsid w:val="4C5D756C"/>
    <w:rsid w:val="4D5B476E"/>
    <w:rsid w:val="503B7459"/>
    <w:rsid w:val="5539030F"/>
    <w:rsid w:val="56535401"/>
    <w:rsid w:val="5900361E"/>
    <w:rsid w:val="5AF05E41"/>
    <w:rsid w:val="5EC450EE"/>
    <w:rsid w:val="5F9E3142"/>
    <w:rsid w:val="5FB711E9"/>
    <w:rsid w:val="61073070"/>
    <w:rsid w:val="6175345D"/>
    <w:rsid w:val="6241391E"/>
    <w:rsid w:val="62AD4C85"/>
    <w:rsid w:val="633914DA"/>
    <w:rsid w:val="63714E7E"/>
    <w:rsid w:val="65A17F37"/>
    <w:rsid w:val="68987CBD"/>
    <w:rsid w:val="693410C2"/>
    <w:rsid w:val="6B5C3A54"/>
    <w:rsid w:val="6C066D46"/>
    <w:rsid w:val="6D7A4FB0"/>
    <w:rsid w:val="6DC5053A"/>
    <w:rsid w:val="6DF86AA4"/>
    <w:rsid w:val="70F133F4"/>
    <w:rsid w:val="74116287"/>
    <w:rsid w:val="74AA46FD"/>
    <w:rsid w:val="74CC21AE"/>
    <w:rsid w:val="776B5CAF"/>
    <w:rsid w:val="7BB5399C"/>
    <w:rsid w:val="7EF0182C"/>
    <w:rsid w:val="7F2826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link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1 Char"/>
    <w:link w:val="26"/>
    <w:qFormat/>
    <w:uiPriority w:val="0"/>
    <w:rPr>
      <w:rFonts w:ascii="Arial" w:hAnsi="Arial" w:eastAsia="宋体"/>
      <w:sz w:val="32"/>
    </w:rPr>
  </w:style>
  <w:style w:type="character" w:customStyle="1" w:styleId="32">
    <w:name w:val="柴_标题3 Char"/>
    <w:link w:val="29"/>
    <w:qFormat/>
    <w:uiPriority w:val="0"/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4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2381</Words>
  <Characters>2584</Characters>
  <Lines>0</Lines>
  <Paragraphs>0</Paragraphs>
  <TotalTime>41</TotalTime>
  <ScaleCrop>false</ScaleCrop>
  <LinksUpToDate>false</LinksUpToDate>
  <CharactersWithSpaces>2654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2025-08-15T15:48:00Z</dcterms:created>
  <dc:creator>杜高明</dc:creator>
  <cp:lastModifiedBy>郝宇</cp:lastModifiedBy>
  <dcterms:modified xsi:type="dcterms:W3CDTF">2026-02-08T13:47:56Z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2025-08-16T03:30:03Z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674D07E3A33845EB81407F71F4A5829D_12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