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8644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7434"/>
      <w:r>
        <w:rPr>
          <w:rFonts w:hint="eastAsia"/>
          <w:lang w:val="en-US" w:eastAsia="zh-CN"/>
        </w:rPr>
        <w:t>改进方案</w:t>
      </w:r>
      <w:bookmarkEnd w:id="1"/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8311"/>
      <w:r>
        <w:t>中达丰集团有限公司</w:t>
      </w:r>
      <w:bookmarkEnd w:id="2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12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1710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赶紧方案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JFSSJH</w:t>
            </w:r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77F3FC">
          <w:pPr>
            <w:pStyle w:val="16"/>
            <w:tabs>
              <w:tab w:val="right" w:leader="dot" w:pos="8336"/>
            </w:tabs>
          </w:pPr>
          <w:bookmarkStart w:id="14" w:name="_GoBack"/>
          <w:bookmarkEnd w:id="14"/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_Toc8644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_Toc8644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0CBF23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_Toc7434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改进方案</w:t>
          </w:r>
          <w:r>
            <w:tab/>
          </w:r>
          <w:r>
            <w:fldChar w:fldCharType="begin"/>
          </w:r>
          <w:r>
            <w:instrText xml:space="preserve"> PAGEREF _Toc7434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2B7C5B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_Toc18311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_Toc18311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DC4DF2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_Toc17105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_Toc17105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A037C6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_Toc12707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总体目标</w:t>
          </w:r>
          <w:r>
            <w:tab/>
          </w:r>
          <w:r>
            <w:fldChar w:fldCharType="begin"/>
          </w:r>
          <w:r>
            <w:instrText xml:space="preserve"> PAGEREF _Toc12707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17F19A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_Toc4169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改进方向与措施</w:t>
          </w:r>
          <w:r>
            <w:tab/>
          </w:r>
          <w:r>
            <w:fldChar w:fldCharType="begin"/>
          </w:r>
          <w:r>
            <w:instrText xml:space="preserve"> PAGEREF _Toc4169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C1CFB5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_Toc19318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巡检标准化与规范化</w:t>
          </w:r>
          <w:r>
            <w:tab/>
          </w:r>
          <w:r>
            <w:fldChar w:fldCharType="begin"/>
          </w:r>
          <w:r>
            <w:instrText xml:space="preserve"> PAGEREF _Toc19318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52857D1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_Toc19268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设备预防性维护</w:t>
          </w:r>
          <w:r>
            <w:tab/>
          </w:r>
          <w:r>
            <w:fldChar w:fldCharType="begin"/>
          </w:r>
          <w:r>
            <w:instrText xml:space="preserve"> PAGEREF _Toc19268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196F28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_Toc21448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网络与系统监控优化</w:t>
          </w:r>
          <w:r>
            <w:tab/>
          </w:r>
          <w:r>
            <w:fldChar w:fldCharType="begin"/>
          </w:r>
          <w:r>
            <w:instrText xml:space="preserve"> PAGEREF _Toc21448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09631F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_Toc3747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问题跟踪与闭环管理</w:t>
          </w:r>
          <w:r>
            <w:tab/>
          </w:r>
          <w:r>
            <w:fldChar w:fldCharType="begin"/>
          </w:r>
          <w:r>
            <w:instrText xml:space="preserve"> PAGEREF _Toc3747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30ACE84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_Toc23626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巡检质量与效果评估</w:t>
          </w:r>
          <w:r>
            <w:tab/>
          </w:r>
          <w:r>
            <w:fldChar w:fldCharType="begin"/>
          </w:r>
          <w:r>
            <w:instrText xml:space="preserve"> PAGEREF _Toc23626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A11D9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_Toc18014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实施计划</w:t>
          </w:r>
          <w:r>
            <w:tab/>
          </w:r>
          <w:r>
            <w:fldChar w:fldCharType="begin"/>
          </w:r>
          <w:r>
            <w:instrText xml:space="preserve"> PAGEREF _Toc18014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76646A0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_Toc26102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责任分工</w:t>
          </w:r>
          <w:r>
            <w:tab/>
          </w:r>
          <w:r>
            <w:fldChar w:fldCharType="begin"/>
          </w:r>
          <w:r>
            <w:instrText xml:space="preserve"> PAGEREF _Toc26102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C020A8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_Toc10464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预期成效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4E679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4890A7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13194C03">
      <w:pPr>
        <w:pStyle w:val="26"/>
        <w:bidi w:val="0"/>
        <w:rPr>
          <w:rFonts w:hint="default"/>
          <w:lang w:val="en-US" w:eastAsia="zh-CN"/>
        </w:rPr>
      </w:pPr>
      <w:bookmarkStart w:id="4" w:name="_Toc12707"/>
      <w:r>
        <w:rPr>
          <w:rFonts w:hint="default"/>
          <w:lang w:val="en-US" w:eastAsia="zh-CN"/>
        </w:rPr>
        <w:t>总体目标</w:t>
      </w:r>
      <w:bookmarkEnd w:id="4"/>
    </w:p>
    <w:p w14:paraId="648D877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提升巡检工作的系统性、预防性与响应效率，降低设备故障率，保障充电站长期稳定运行，优化用户体验。</w:t>
      </w:r>
    </w:p>
    <w:p w14:paraId="097822A9">
      <w:pPr>
        <w:pStyle w:val="26"/>
        <w:bidi w:val="0"/>
        <w:rPr>
          <w:rFonts w:hint="default"/>
          <w:lang w:val="en-US" w:eastAsia="zh-CN"/>
        </w:rPr>
      </w:pPr>
      <w:bookmarkStart w:id="5" w:name="_Toc4169"/>
      <w:r>
        <w:rPr>
          <w:rFonts w:hint="default"/>
          <w:lang w:val="en-US" w:eastAsia="zh-CN"/>
        </w:rPr>
        <w:t>改进方向与措施</w:t>
      </w:r>
      <w:bookmarkEnd w:id="5"/>
    </w:p>
    <w:p w14:paraId="3E259488">
      <w:pPr>
        <w:pStyle w:val="28"/>
        <w:bidi w:val="0"/>
        <w:rPr>
          <w:rFonts w:hint="default"/>
          <w:lang w:val="en-US" w:eastAsia="zh-CN"/>
        </w:rPr>
      </w:pPr>
      <w:bookmarkStart w:id="6" w:name="_Toc19318"/>
      <w:r>
        <w:rPr>
          <w:rFonts w:hint="default"/>
          <w:lang w:val="en-US" w:eastAsia="zh-CN"/>
        </w:rPr>
        <w:t>巡检标准化与规范化</w:t>
      </w:r>
      <w:bookmarkEnd w:id="6"/>
    </w:p>
    <w:p w14:paraId="7BF13A64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制定详细巡检手册：明确每项检查内容的标准、方法、工具与判定依据。</w:t>
      </w:r>
    </w:p>
    <w:p w14:paraId="3957F7E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统一记录模板：推广电子化巡检系统，实现数据实时上传、自动汇总与分析。</w:t>
      </w:r>
    </w:p>
    <w:p w14:paraId="20225867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加强巡检人员培训：每季度组织一次专项培训，提升对设备状态、安全隐患的识别能力。</w:t>
      </w:r>
    </w:p>
    <w:p w14:paraId="1E068D8B">
      <w:pPr>
        <w:pStyle w:val="28"/>
        <w:bidi w:val="0"/>
        <w:rPr>
          <w:rFonts w:hint="default"/>
          <w:lang w:val="en-US" w:eastAsia="zh-CN"/>
        </w:rPr>
      </w:pPr>
      <w:bookmarkStart w:id="7" w:name="_Toc19268"/>
      <w:r>
        <w:rPr>
          <w:rFonts w:hint="default"/>
          <w:lang w:val="en-US" w:eastAsia="zh-CN"/>
        </w:rPr>
        <w:t>设备预防性维护</w:t>
      </w:r>
      <w:bookmarkEnd w:id="7"/>
    </w:p>
    <w:p w14:paraId="16447512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建立设备健康档案：为每个站点、每台设备建立维护历史记录，跟踪关键部件（如风扇、枪线、配电设备）的使用寿命。</w:t>
      </w:r>
    </w:p>
    <w:p w14:paraId="24CB2D0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制定预防性更换计划：针对易损件（如枪线、密封条、风扇）设定更换周期，避免突发故障。</w:t>
      </w:r>
    </w:p>
    <w:p w14:paraId="2E5C67B1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环境适应性改造：针对站点#23等存在潮气问题的站点，加装防凝露装置、改善通风，并开展季节性专项检查。</w:t>
      </w:r>
    </w:p>
    <w:p w14:paraId="1F3D5A12">
      <w:pPr>
        <w:pStyle w:val="28"/>
        <w:bidi w:val="0"/>
        <w:rPr>
          <w:rFonts w:hint="default"/>
          <w:lang w:val="en-US" w:eastAsia="zh-CN"/>
        </w:rPr>
      </w:pPr>
      <w:bookmarkStart w:id="8" w:name="_Toc21448"/>
      <w:r>
        <w:rPr>
          <w:rFonts w:hint="default"/>
          <w:lang w:val="en-US" w:eastAsia="zh-CN"/>
        </w:rPr>
        <w:t>网络与系统监控优化</w:t>
      </w:r>
      <w:bookmarkEnd w:id="8"/>
    </w:p>
    <w:p w14:paraId="2851AAB4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部署网络质量监测工具：实时监控各站点网络延迟、丢包率，设置阈值告警。</w:t>
      </w:r>
    </w:p>
    <w:p w14:paraId="6E5A5005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建立平台日志智能分析机制：通过日志分析系统自动识别异常模式（如频繁闪断、服务异常），提前预警。</w:t>
      </w:r>
    </w:p>
    <w:p w14:paraId="7C26339E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加强数据一致性校验：每月开展一次平台与现场数据的全面比对，确保计费与充电记录准确。</w:t>
      </w:r>
    </w:p>
    <w:p w14:paraId="4692DF96">
      <w:pPr>
        <w:pStyle w:val="28"/>
        <w:bidi w:val="0"/>
        <w:rPr>
          <w:rFonts w:hint="default"/>
          <w:lang w:val="en-US" w:eastAsia="zh-CN"/>
        </w:rPr>
      </w:pPr>
      <w:bookmarkStart w:id="9" w:name="_Toc3747"/>
      <w:r>
        <w:rPr>
          <w:rFonts w:hint="default"/>
          <w:lang w:val="en-US" w:eastAsia="zh-CN"/>
        </w:rPr>
        <w:t>问题跟踪与闭环管理</w:t>
      </w:r>
      <w:bookmarkEnd w:id="9"/>
    </w:p>
    <w:p w14:paraId="1A164D17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完善工单管理系统：所有巡检发现问题必须录入系统（如Jira），明确责任人、处理时限、验收标准。</w:t>
      </w:r>
    </w:p>
    <w:p w14:paraId="347DE0D1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建立问题复盘机制：对中高等级问题进行根本原因分析，制定防止再发生措施。</w:t>
      </w:r>
    </w:p>
    <w:p w14:paraId="0F9F54C1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实施整改验收制度：整改完成后须由巡检人员或第三方复核，确认闭环后方可关闭工单。</w:t>
      </w:r>
    </w:p>
    <w:p w14:paraId="62AB4C80">
      <w:pPr>
        <w:pStyle w:val="28"/>
        <w:bidi w:val="0"/>
        <w:rPr>
          <w:rFonts w:hint="default"/>
          <w:lang w:val="en-US" w:eastAsia="zh-CN"/>
        </w:rPr>
      </w:pPr>
      <w:bookmarkStart w:id="10" w:name="_Toc23626"/>
      <w:r>
        <w:rPr>
          <w:rFonts w:hint="default"/>
          <w:lang w:val="en-US" w:eastAsia="zh-CN"/>
        </w:rPr>
        <w:t>巡检质量与效果评估</w:t>
      </w:r>
      <w:bookmarkEnd w:id="10"/>
    </w:p>
    <w:p w14:paraId="76739A1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设立巡检KPI：包括问题发现率、整改完成率、设备可用率、用户投诉率等。</w:t>
      </w:r>
    </w:p>
    <w:p w14:paraId="202B832D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开展不定期抽查：由项目经理或质量部门对已巡检站点进行抽查，评估巡检执行质量。</w:t>
      </w:r>
    </w:p>
    <w:p w14:paraId="13EED8A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建立用户反馈渠道：通过APP、现场二维码等方式收集用户使用体验，作为巡检效果的补充评价。</w:t>
      </w:r>
    </w:p>
    <w:p w14:paraId="7B254C49">
      <w:pPr>
        <w:pStyle w:val="26"/>
        <w:bidi w:val="0"/>
        <w:rPr>
          <w:rFonts w:hint="default"/>
          <w:lang w:val="en-US" w:eastAsia="zh-CN"/>
        </w:rPr>
      </w:pPr>
      <w:bookmarkStart w:id="11" w:name="_Toc18014"/>
      <w:r>
        <w:rPr>
          <w:rFonts w:hint="default"/>
          <w:lang w:val="en-US" w:eastAsia="zh-CN"/>
        </w:rPr>
        <w:t>实施计划</w:t>
      </w:r>
      <w:bookmarkEnd w:id="11"/>
    </w:p>
    <w:tbl>
      <w:tblPr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1665"/>
        <w:gridCol w:w="5973"/>
      </w:tblGrid>
      <w:tr w14:paraId="0DD3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A2F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077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时间周期</w:t>
            </w:r>
          </w:p>
        </w:tc>
        <w:tc>
          <w:tcPr>
            <w:tcW w:w="59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03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主要内容</w:t>
            </w:r>
          </w:p>
        </w:tc>
      </w:tr>
      <w:tr w14:paraId="55E31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0DA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第一阶段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540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2026年1月</w:t>
            </w:r>
          </w:p>
        </w:tc>
        <w:tc>
          <w:tcPr>
            <w:tcW w:w="5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212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修订巡检标准、启动培训、部署网络监测工具</w:t>
            </w:r>
          </w:p>
        </w:tc>
      </w:tr>
      <w:tr w14:paraId="67FD0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930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第二阶段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C49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2026年2月</w:t>
            </w:r>
          </w:p>
        </w:tc>
        <w:tc>
          <w:tcPr>
            <w:tcW w:w="5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7A8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建立设备健康档案、实施预防性维护试点（站点#12、#23）</w:t>
            </w:r>
          </w:p>
        </w:tc>
      </w:tr>
      <w:tr w14:paraId="636A0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D1B8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第三阶段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14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2026年3月起</w:t>
            </w:r>
          </w:p>
        </w:tc>
        <w:tc>
          <w:tcPr>
            <w:tcW w:w="5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DCFB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全面推行电子化巡检、建立问题闭环机制、开展首次效果评估</w:t>
            </w:r>
          </w:p>
        </w:tc>
      </w:tr>
    </w:tbl>
    <w:p w14:paraId="2A72CAA9">
      <w:pPr>
        <w:pStyle w:val="26"/>
        <w:bidi w:val="0"/>
        <w:rPr>
          <w:rFonts w:hint="default"/>
          <w:lang w:val="en-US" w:eastAsia="zh-CN"/>
        </w:rPr>
      </w:pPr>
      <w:bookmarkStart w:id="12" w:name="_Toc26102"/>
      <w:r>
        <w:rPr>
          <w:rFonts w:hint="default"/>
          <w:lang w:val="en-US" w:eastAsia="zh-CN"/>
        </w:rPr>
        <w:t>责任分工</w:t>
      </w:r>
      <w:bookmarkEnd w:id="12"/>
    </w:p>
    <w:p w14:paraId="58DC87F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项目经理：统筹改进方案实施，监督进度与质量。</w:t>
      </w:r>
    </w:p>
    <w:p w14:paraId="58A3B1A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运维团队：执行巡检、维护、整改任务，反馈执行问题。</w:t>
      </w:r>
    </w:p>
    <w:p w14:paraId="6B4D2E0A">
      <w:pPr>
        <w:pStyle w:val="26"/>
        <w:bidi w:val="0"/>
        <w:rPr>
          <w:rFonts w:hint="default"/>
          <w:lang w:val="en-US" w:eastAsia="zh-CN"/>
        </w:rPr>
      </w:pPr>
      <w:bookmarkStart w:id="13" w:name="_Toc10464"/>
      <w:r>
        <w:rPr>
          <w:rFonts w:hint="default"/>
          <w:lang w:val="en-US" w:eastAsia="zh-CN"/>
        </w:rPr>
        <w:t>预期成效</w:t>
      </w:r>
      <w:bookmarkEnd w:id="13"/>
    </w:p>
    <w:p w14:paraId="0971E6C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设备故障率下降0%</w:t>
      </w:r>
    </w:p>
    <w:p w14:paraId="5E618A4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用户投诉率降低15%</w:t>
      </w:r>
    </w:p>
    <w:p w14:paraId="28F3382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巡检数据完整率与准确率达 100%</w:t>
      </w: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C626C"/>
    <w:rsid w:val="0191060D"/>
    <w:rsid w:val="01C60793"/>
    <w:rsid w:val="02144177"/>
    <w:rsid w:val="02F53218"/>
    <w:rsid w:val="03A52548"/>
    <w:rsid w:val="03ED5F26"/>
    <w:rsid w:val="03FE7173"/>
    <w:rsid w:val="04C133B2"/>
    <w:rsid w:val="05171224"/>
    <w:rsid w:val="07B02B10"/>
    <w:rsid w:val="080A32C2"/>
    <w:rsid w:val="09862E1C"/>
    <w:rsid w:val="09FB69A5"/>
    <w:rsid w:val="0A5126DF"/>
    <w:rsid w:val="0AB35B63"/>
    <w:rsid w:val="0ABC2087"/>
    <w:rsid w:val="0B2E5519"/>
    <w:rsid w:val="0BDE588B"/>
    <w:rsid w:val="0C3737A1"/>
    <w:rsid w:val="0C5B0590"/>
    <w:rsid w:val="0CAF61E6"/>
    <w:rsid w:val="0CE438D3"/>
    <w:rsid w:val="0DA73361"/>
    <w:rsid w:val="0DB83011"/>
    <w:rsid w:val="104079A4"/>
    <w:rsid w:val="11561326"/>
    <w:rsid w:val="11731ED8"/>
    <w:rsid w:val="12F47048"/>
    <w:rsid w:val="133D279D"/>
    <w:rsid w:val="14465682"/>
    <w:rsid w:val="16ED44DA"/>
    <w:rsid w:val="1721492C"/>
    <w:rsid w:val="17A10E21"/>
    <w:rsid w:val="188D7C5B"/>
    <w:rsid w:val="196B2580"/>
    <w:rsid w:val="1A70446A"/>
    <w:rsid w:val="1BBD74D6"/>
    <w:rsid w:val="1BC81262"/>
    <w:rsid w:val="1C625023"/>
    <w:rsid w:val="1CF55E97"/>
    <w:rsid w:val="1EF26B32"/>
    <w:rsid w:val="1F5844BB"/>
    <w:rsid w:val="20484530"/>
    <w:rsid w:val="20902076"/>
    <w:rsid w:val="21DD7E45"/>
    <w:rsid w:val="22C34341"/>
    <w:rsid w:val="23E66539"/>
    <w:rsid w:val="246D6B15"/>
    <w:rsid w:val="270D0281"/>
    <w:rsid w:val="273473B1"/>
    <w:rsid w:val="28B17A6C"/>
    <w:rsid w:val="2913307B"/>
    <w:rsid w:val="29DA6B40"/>
    <w:rsid w:val="2B0136EC"/>
    <w:rsid w:val="2B512E32"/>
    <w:rsid w:val="2B595843"/>
    <w:rsid w:val="2BB60F80"/>
    <w:rsid w:val="2BDE3F9A"/>
    <w:rsid w:val="2CB92267"/>
    <w:rsid w:val="2D7E3C87"/>
    <w:rsid w:val="2DD90EBD"/>
    <w:rsid w:val="2E953036"/>
    <w:rsid w:val="30E052E7"/>
    <w:rsid w:val="31815AF3"/>
    <w:rsid w:val="31872DB7"/>
    <w:rsid w:val="321921D0"/>
    <w:rsid w:val="33AF4B9A"/>
    <w:rsid w:val="345C4021"/>
    <w:rsid w:val="353115DE"/>
    <w:rsid w:val="37660B99"/>
    <w:rsid w:val="38331AE3"/>
    <w:rsid w:val="391536F1"/>
    <w:rsid w:val="39921DDC"/>
    <w:rsid w:val="39AA5818"/>
    <w:rsid w:val="3A246042"/>
    <w:rsid w:val="3A2D6818"/>
    <w:rsid w:val="3A863CF1"/>
    <w:rsid w:val="3B814871"/>
    <w:rsid w:val="3C19028A"/>
    <w:rsid w:val="3C371BD0"/>
    <w:rsid w:val="3C5A3D43"/>
    <w:rsid w:val="3E4E3201"/>
    <w:rsid w:val="3E854E75"/>
    <w:rsid w:val="3F870779"/>
    <w:rsid w:val="41006A35"/>
    <w:rsid w:val="413C5988"/>
    <w:rsid w:val="417F282C"/>
    <w:rsid w:val="41874A60"/>
    <w:rsid w:val="421D66E1"/>
    <w:rsid w:val="428217D4"/>
    <w:rsid w:val="42C729C3"/>
    <w:rsid w:val="448B59E3"/>
    <w:rsid w:val="44FF0DB1"/>
    <w:rsid w:val="45C8592C"/>
    <w:rsid w:val="46207ACD"/>
    <w:rsid w:val="471660D6"/>
    <w:rsid w:val="47B9793D"/>
    <w:rsid w:val="49C600F0"/>
    <w:rsid w:val="4A1C606C"/>
    <w:rsid w:val="4B3A6FE7"/>
    <w:rsid w:val="4B49722A"/>
    <w:rsid w:val="4C0860B4"/>
    <w:rsid w:val="4C5D756C"/>
    <w:rsid w:val="4D5B476E"/>
    <w:rsid w:val="4FDB2C90"/>
    <w:rsid w:val="4FF27771"/>
    <w:rsid w:val="503B7459"/>
    <w:rsid w:val="50E84DEF"/>
    <w:rsid w:val="5539030F"/>
    <w:rsid w:val="55A27C63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2AD4C85"/>
    <w:rsid w:val="633914DA"/>
    <w:rsid w:val="63714E7E"/>
    <w:rsid w:val="646B7DB9"/>
    <w:rsid w:val="65A17F37"/>
    <w:rsid w:val="67EC3CDB"/>
    <w:rsid w:val="68987CBD"/>
    <w:rsid w:val="693410C2"/>
    <w:rsid w:val="6B5C3A54"/>
    <w:rsid w:val="6C066D46"/>
    <w:rsid w:val="6D7A4FB0"/>
    <w:rsid w:val="6DC5053A"/>
    <w:rsid w:val="6DF86AA4"/>
    <w:rsid w:val="70F133F4"/>
    <w:rsid w:val="74116287"/>
    <w:rsid w:val="74AA46FD"/>
    <w:rsid w:val="74CC21AE"/>
    <w:rsid w:val="755503F6"/>
    <w:rsid w:val="776B5CAF"/>
    <w:rsid w:val="7B436BB5"/>
    <w:rsid w:val="7BB5399C"/>
    <w:rsid w:val="7C3C0199"/>
    <w:rsid w:val="7DD5166A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419</Words>
  <Characters>503</Characters>
  <Lines>0</Lines>
  <Paragraphs>0</Paragraphs>
  <TotalTime>0</TotalTime>
  <ScaleCrop>false</ScaleCrop>
  <LinksUpToDate>false</LinksUpToDate>
  <CharactersWithSpaces>561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2026-02-08T14:54:59Z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