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8DAC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6252E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6592"/>
      <w:r>
        <w:t>内部审核管理制度</w:t>
      </w:r>
      <w:bookmarkEnd w:id="0"/>
    </w:p>
    <w:p w14:paraId="0D108D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869"/>
      <w:r>
        <w:t>中达丰集团有限公司</w:t>
      </w:r>
      <w:bookmarkEnd w:id="1"/>
    </w:p>
    <w:p w14:paraId="260DAE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315984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8C0F1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ind w:left="382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498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4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3"/>
        <w:gridCol w:w="1696"/>
        <w:gridCol w:w="2341"/>
        <w:gridCol w:w="1982"/>
        <w:gridCol w:w="1563"/>
      </w:tblGrid>
      <w:tr w14:paraId="27027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3" w:type="dxa"/>
          </w:tcPr>
          <w:p w14:paraId="2830E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189389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3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内部审核管理制度（ZDFJT-ITSS-NBSHGL）</w:t>
            </w:r>
          </w:p>
        </w:tc>
      </w:tr>
      <w:tr w14:paraId="5CB736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9B87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582" w:type="dxa"/>
            <w:gridSpan w:val="4"/>
          </w:tcPr>
          <w:p w14:paraId="05EC0D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2B14B6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51F1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1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文档密级</w:t>
            </w:r>
          </w:p>
        </w:tc>
        <w:tc>
          <w:tcPr>
            <w:tcW w:w="7582" w:type="dxa"/>
            <w:gridSpan w:val="4"/>
          </w:tcPr>
          <w:p w14:paraId="607618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20" w:lineRule="auto"/>
              <w:ind w:left="10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秘密</w:t>
            </w:r>
          </w:p>
        </w:tc>
      </w:tr>
      <w:tr w14:paraId="70239A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563" w:type="dxa"/>
          </w:tcPr>
          <w:p w14:paraId="1180CF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6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696" w:type="dxa"/>
          </w:tcPr>
          <w:p w14:paraId="6D1E2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41" w:type="dxa"/>
          </w:tcPr>
          <w:p w14:paraId="67FAC6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5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982" w:type="dxa"/>
          </w:tcPr>
          <w:p w14:paraId="37EBAE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563" w:type="dxa"/>
          </w:tcPr>
          <w:p w14:paraId="438042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8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73025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53D8F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56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696" w:type="dxa"/>
          </w:tcPr>
          <w:p w14:paraId="623F35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43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41" w:type="dxa"/>
          </w:tcPr>
          <w:p w14:paraId="733A9F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5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982" w:type="dxa"/>
          </w:tcPr>
          <w:p w14:paraId="5EB37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82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3" w:type="dxa"/>
          </w:tcPr>
          <w:p w14:paraId="56AB87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50C19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067C49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6677AF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B3671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DB150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BD397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361E4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808C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DDC1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308BBF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726102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E67C7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56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563" w:type="dxa"/>
          </w:tcPr>
          <w:p w14:paraId="7DE02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3384A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2C4EB3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A7D40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3FF503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533C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563" w:type="dxa"/>
          </w:tcPr>
          <w:p w14:paraId="0EA580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058202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4D3157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1A48AF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773D82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641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563" w:type="dxa"/>
          </w:tcPr>
          <w:p w14:paraId="6114BA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 w14:paraId="5FD840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1" w:type="dxa"/>
          </w:tcPr>
          <w:p w14:paraId="13B794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3DA9B6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3" w:type="dxa"/>
          </w:tcPr>
          <w:p w14:paraId="64AB4C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E6436E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E35BC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7" w:h="16840"/>
          <w:pgMar w:top="1253" w:right="1173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1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F43C70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67E3AD7">
          <w:pPr>
            <w:pStyle w:val="16"/>
            <w:tabs>
              <w:tab w:val="right" w:leader="dot" w:pos="8371"/>
            </w:tabs>
          </w:pPr>
          <w:bookmarkStart w:id="27" w:name="_GoBack"/>
          <w:bookmarkEnd w:id="27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_Toc6592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内部审核管理制度</w:t>
          </w:r>
          <w:r>
            <w:tab/>
          </w:r>
          <w:r>
            <w:fldChar w:fldCharType="begin"/>
          </w:r>
          <w:r>
            <w:instrText xml:space="preserve"> PAGEREF _Toc6592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8F0253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_Toc869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94D9889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_Toc24987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31636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_Toc9465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B56C6E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_Toc29326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_Toc29326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AA57E1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_Toc28085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_Toc28085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49646EF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_Toc4028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_Toc4028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369966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_Toc29086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其他相关部门</w:t>
          </w:r>
          <w:r>
            <w:tab/>
          </w:r>
          <w:r>
            <w:fldChar w:fldCharType="begin"/>
          </w:r>
          <w:r>
            <w:instrText xml:space="preserve"> PAGEREF _Toc29086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2436AA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_Toc11461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工作程序</w:t>
          </w:r>
          <w:r>
            <w:tab/>
          </w:r>
          <w:r>
            <w:fldChar w:fldCharType="begin"/>
          </w:r>
          <w:r>
            <w:instrText xml:space="preserve"> PAGEREF _Toc11461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EF64AC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_Toc28378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3.3.1. </w:t>
          </w:r>
          <w:r>
            <w:rPr>
              <w:rFonts w:hint="eastAsia"/>
            </w:rPr>
            <w:t>审核的频次</w:t>
          </w:r>
          <w:r>
            <w:tab/>
          </w:r>
          <w:r>
            <w:fldChar w:fldCharType="begin"/>
          </w:r>
          <w:r>
            <w:instrText xml:space="preserve"> PAGEREF _Toc28378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D54CCB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_Toc19501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3.3.2. </w:t>
          </w:r>
          <w:r>
            <w:rPr>
              <w:rFonts w:hint="eastAsia"/>
            </w:rPr>
            <w:t>审核的策划</w:t>
          </w:r>
          <w:r>
            <w:tab/>
          </w:r>
          <w:r>
            <w:fldChar w:fldCharType="begin"/>
          </w:r>
          <w:r>
            <w:instrText xml:space="preserve"> PAGEREF _Toc19501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50C12F">
          <w:pPr>
            <w:pStyle w:val="13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_Toc3820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3.3.3. </w:t>
          </w:r>
          <w:r>
            <w:rPr>
              <w:rFonts w:hint="eastAsia"/>
            </w:rPr>
            <w:t>审核组</w:t>
          </w:r>
          <w:r>
            <w:tab/>
          </w:r>
          <w:r>
            <w:fldChar w:fldCharType="begin"/>
          </w:r>
          <w:r>
            <w:instrText xml:space="preserve"> PAGEREF _Toc3820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38020A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_Toc9783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审核依据</w:t>
          </w:r>
          <w:r>
            <w:tab/>
          </w:r>
          <w:r>
            <w:fldChar w:fldCharType="begin"/>
          </w:r>
          <w:r>
            <w:instrText xml:space="preserve"> PAGEREF _Toc9783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2240EA0">
          <w:pPr>
            <w:pStyle w:val="17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_Toc12976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审核的计划</w:t>
          </w:r>
          <w:r>
            <w:tab/>
          </w:r>
          <w:r>
            <w:fldChar w:fldCharType="begin"/>
          </w:r>
          <w:r>
            <w:instrText xml:space="preserve"> PAGEREF _Toc12976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E6098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审核的准备</w:t>
          </w:r>
          <w:r>
            <w:tab/>
          </w:r>
          <w:r>
            <w:fldChar w:fldCharType="begin"/>
          </w:r>
          <w:r>
            <w:instrText xml:space="preserve"> PAGEREF _Toc872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B5BA0E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审核的实施</w:t>
          </w:r>
          <w:r>
            <w:tab/>
          </w:r>
          <w:r>
            <w:fldChar w:fldCharType="begin"/>
          </w:r>
          <w:r>
            <w:instrText xml:space="preserve"> PAGEREF _Toc10054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B3C4BFA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_Toc20555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不符合项报告</w:t>
          </w:r>
          <w:r>
            <w:tab/>
          </w:r>
          <w:r>
            <w:fldChar w:fldCharType="begin"/>
          </w:r>
          <w:r>
            <w:instrText xml:space="preserve"> PAGEREF _Toc20555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6066FF8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_Toc21329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审核报告</w:t>
          </w:r>
          <w:r>
            <w:tab/>
          </w:r>
          <w:r>
            <w:fldChar w:fldCharType="begin"/>
          </w:r>
          <w:r>
            <w:instrText xml:space="preserve"> PAGEREF _Toc21329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C4EFB6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_Toc23599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总结会议</w:t>
          </w:r>
          <w:r>
            <w:tab/>
          </w:r>
          <w:r>
            <w:fldChar w:fldCharType="begin"/>
          </w:r>
          <w:r>
            <w:instrText xml:space="preserve"> PAGEREF _Toc23599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35EBC0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_Toc10037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服务改进措施</w:t>
          </w:r>
          <w:r>
            <w:tab/>
          </w:r>
          <w:r>
            <w:fldChar w:fldCharType="begin"/>
          </w:r>
          <w:r>
            <w:instrText xml:space="preserve"> PAGEREF _Toc10037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7A593F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跟踪验证</w:t>
          </w:r>
          <w:r>
            <w:tab/>
          </w:r>
          <w:r>
            <w:fldChar w:fldCharType="begin"/>
          </w:r>
          <w:r>
            <w:instrText xml:space="preserve"> PAGEREF _Toc754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ABD567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_Toc12344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11.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_Toc12344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D628FD">
          <w:pPr>
            <w:pStyle w:val="16"/>
            <w:tabs>
              <w:tab w:val="right" w:leader="dot" w:pos="8371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_Toc16927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内审记录</w:t>
          </w:r>
          <w:r>
            <w:tab/>
          </w:r>
          <w:r>
            <w:fldChar w:fldCharType="begin"/>
          </w:r>
          <w:r>
            <w:instrText xml:space="preserve"> PAGEREF _Toc16927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2E1DA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4BF396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footerReference r:id="rId6" w:type="default"/>
          <w:pgSz w:w="11907" w:h="16840"/>
          <w:pgMar w:top="1162" w:right="1768" w:bottom="1359" w:left="1768" w:header="830" w:footer="1198" w:gutter="0"/>
          <w:cols w:space="720" w:num="1"/>
        </w:sectPr>
      </w:pPr>
    </w:p>
    <w:p w14:paraId="5E953D1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465"/>
      <w:r>
        <w:t>目的</w:t>
      </w:r>
      <w:bookmarkEnd w:id="3"/>
    </w:p>
    <w:p w14:paraId="2DDA25D6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确定中达丰集团有限公司的ITSS运维服务质量管理体系是否满足规定要求，以及是否得到有效实施和保持。</w:t>
      </w:r>
    </w:p>
    <w:p w14:paraId="3E13B8A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9326"/>
      <w:r>
        <w:t>适用范围</w:t>
      </w:r>
      <w:bookmarkEnd w:id="4"/>
    </w:p>
    <w:p w14:paraId="2DD211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适用于中达丰集团有限公司的运维服务管理体系的内审。</w:t>
      </w:r>
    </w:p>
    <w:p w14:paraId="2E5E585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8085"/>
      <w:r>
        <w:t>职责</w:t>
      </w:r>
      <w:bookmarkEnd w:id="5"/>
    </w:p>
    <w:p w14:paraId="2A458EF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21"/>
      <w:bookmarkEnd w:id="6"/>
      <w:bookmarkStart w:id="7" w:name="_Toc4028"/>
      <w:r>
        <w:t>质量部</w:t>
      </w:r>
      <w:bookmarkEnd w:id="7"/>
    </w:p>
    <w:p w14:paraId="38C6C7E8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质量部负责制订《内审计划》，由</w:t>
      </w:r>
      <w:r>
        <w:rPr>
          <w:rFonts w:hint="eastAsia"/>
          <w:lang w:val="en-US" w:eastAsia="zh-CN"/>
        </w:rPr>
        <w:t>经理</w:t>
      </w:r>
      <w:r>
        <w:t>审批，质量部负责组织内审活动，组建审核组。</w:t>
      </w:r>
    </w:p>
    <w:p w14:paraId="2BCF12AD">
      <w:pPr>
        <w:pStyle w:val="27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质量部经理或其他指定人员担任审核组长，负责组织编制内部质量体系审核检查表，并组织内审的实施，负责不符合项的跟踪验证。</w:t>
      </w:r>
    </w:p>
    <w:p w14:paraId="10EC073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9086"/>
      <w:r>
        <w:t>其他相关部门</w:t>
      </w:r>
      <w:bookmarkEnd w:id="8"/>
    </w:p>
    <w:p w14:paraId="4C0D2CC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各受审核的部门配合审核工作的实施。</w:t>
      </w:r>
    </w:p>
    <w:p w14:paraId="7F5B8DE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1461"/>
      <w:r>
        <w:t>工作程序</w:t>
      </w:r>
      <w:bookmarkEnd w:id="9"/>
    </w:p>
    <w:p w14:paraId="4A0FCE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bookmark22"/>
      <w:bookmarkEnd w:id="10"/>
      <w:bookmarkStart w:id="11" w:name="_Toc28378"/>
      <w:r>
        <w:rPr>
          <w:rFonts w:hint="eastAsia"/>
        </w:rPr>
        <w:t>审核的频次</w:t>
      </w:r>
      <w:bookmarkEnd w:id="11"/>
    </w:p>
    <w:p w14:paraId="7DDE1146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完整的内审时间间隔不超过1年。</w:t>
      </w:r>
    </w:p>
    <w:p w14:paraId="04CEFB78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需要时经副总批准后，可增加部分或完整质量体系的审核。</w:t>
      </w:r>
    </w:p>
    <w:p w14:paraId="29768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bookmark23"/>
      <w:bookmarkEnd w:id="12"/>
      <w:bookmarkStart w:id="13" w:name="_Toc19501"/>
      <w:r>
        <w:rPr>
          <w:rFonts w:hint="eastAsia"/>
        </w:rPr>
        <w:t>审核的策划</w:t>
      </w:r>
      <w:bookmarkEnd w:id="13"/>
    </w:p>
    <w:p w14:paraId="479AB00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质量部经理负责将下一次内审的《内审计划》并发至各部门，在内审前进行策划。</w:t>
      </w:r>
    </w:p>
    <w:p w14:paraId="241C04B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策划时应考虑审核过程和区域的状况和重要性以及以往的审核结果。</w:t>
      </w:r>
    </w:p>
    <w:p w14:paraId="4CFD1A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3820"/>
      <w:r>
        <w:rPr>
          <w:rFonts w:hint="eastAsia"/>
        </w:rPr>
        <w:t>审核组</w:t>
      </w:r>
      <w:bookmarkEnd w:id="14"/>
    </w:p>
    <w:p w14:paraId="26ABF69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审核组长由质量部经理或指定人员担任，根据审核特点从本公司的内审员中选定若干名组成审核组。审核组长对最终的审核结论和审核报告负责。</w:t>
      </w:r>
    </w:p>
    <w:p w14:paraId="4AE9316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在选择内审员时应考虑下列条件：</w:t>
      </w:r>
    </w:p>
    <w:p w14:paraId="7A5C23FC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审核员应是经培训合格的公司内审员。</w:t>
      </w:r>
    </w:p>
    <w:p w14:paraId="28491F6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应了解受审核部门运维体系运行情况和业务特点。</w:t>
      </w:r>
    </w:p>
    <w:p w14:paraId="12E62097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当本公司的内审能力不足时，可聘请外部专家协助审核。</w:t>
      </w:r>
    </w:p>
    <w:p w14:paraId="713748C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9783"/>
      <w:r>
        <w:rPr>
          <w:rFonts w:hint="eastAsia"/>
        </w:rPr>
        <w:t>审核依据</w:t>
      </w:r>
      <w:bookmarkEnd w:id="15"/>
    </w:p>
    <w:p w14:paraId="1DB21E4E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2</w:t>
      </w:r>
      <w:r>
        <w:t xml:space="preserve">2《信息技术服务  运行维护  第 </w:t>
      </w:r>
      <w:r>
        <w:rPr>
          <w:rFonts w:hint="eastAsia"/>
          <w:lang w:val="en-US" w:eastAsia="zh-CN"/>
        </w:rPr>
        <w:t>1</w:t>
      </w:r>
      <w:r>
        <w:t xml:space="preserve"> 部分：</w:t>
      </w:r>
      <w:r>
        <w:rPr>
          <w:rFonts w:hint="eastAsia"/>
          <w:lang w:val="en-US" w:eastAsia="zh-CN"/>
        </w:rPr>
        <w:t>通用要求</w:t>
      </w:r>
      <w:r>
        <w:t>》</w:t>
      </w:r>
    </w:p>
    <w:p w14:paraId="38A8A206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GB/T28827.1-20</w:t>
      </w:r>
      <w:r>
        <w:rPr>
          <w:rFonts w:hint="eastAsia"/>
          <w:lang w:val="en-US" w:eastAsia="zh-CN"/>
        </w:rPr>
        <w:t>1</w:t>
      </w:r>
      <w:r>
        <w:t xml:space="preserve">2《信息技术服务  运行维护  第 </w:t>
      </w:r>
      <w:r>
        <w:rPr>
          <w:rFonts w:hint="eastAsia"/>
          <w:lang w:val="en-US" w:eastAsia="zh-CN"/>
        </w:rPr>
        <w:t>2</w:t>
      </w:r>
      <w:r>
        <w:t xml:space="preserve"> 部分：交付规范》</w:t>
      </w:r>
    </w:p>
    <w:p w14:paraId="2FBD28EF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GB/T28827.3-2012《信息技术服务  运行维护  第 3 部分：应急响应规范》</w:t>
      </w:r>
    </w:p>
    <w:p w14:paraId="4F0EE1F8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</w:rPr>
        <w:t>T/CESA 1299—2023</w:t>
      </w:r>
      <w:r>
        <w:t>《信息技术服务 运行维护服务能力成熟度模型》。</w:t>
      </w:r>
    </w:p>
    <w:p w14:paraId="69CCF1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2976"/>
      <w:r>
        <w:t>审核的计划</w:t>
      </w:r>
      <w:bookmarkEnd w:id="16"/>
    </w:p>
    <w:p w14:paraId="4C22FC4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与审核组其它成员一起制定《内审计划》和编写《内审检查表》，《内审计划》应确保审核员不能审核其所在的部门，《内审检查表》应充分考虑抽样的代表性、审核深度和上次审核纠正措施实施情况，并且审核前通知被审核部门。</w:t>
      </w:r>
    </w:p>
    <w:p w14:paraId="2E439D2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872"/>
      <w:r>
        <w:t>审核的准备</w:t>
      </w:r>
      <w:bookmarkEnd w:id="18"/>
    </w:p>
    <w:p w14:paraId="5350801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 w14:paraId="60AA594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0054"/>
      <w:r>
        <w:t>审核的实施</w:t>
      </w:r>
      <w:bookmarkEnd w:id="19"/>
    </w:p>
    <w:p w14:paraId="1E98B3AD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 w14:paraId="485EE8C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审核组按审核计划实施审核，充分利用检查表，采取与有关人员面谈、观察现场及岗位工作人员操作、查阅各种记录的方式进行审核，收集客观证据。</w:t>
      </w:r>
    </w:p>
    <w:p w14:paraId="0CF2BDD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面谈：审核人员根据检查表与被审核部门的负责人或当事人进行面谈、提问。部门负责人或当事人的讲话可作为证据，陪同人员的讲话不能作为证据。</w:t>
      </w:r>
    </w:p>
    <w:p w14:paraId="59F9EAE8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观察现场：察看作业现场的环境、操作等是否符合要求。</w:t>
      </w:r>
    </w:p>
    <w:p w14:paraId="1FE8F364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查文件和记录：向被审核部门负责人或当事人索取相关文件和记录，检查记录的完整性、真实性和一致性。</w:t>
      </w:r>
    </w:p>
    <w:p w14:paraId="6A3FB00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各审核员对发现的不合格项填写在《内审检查表》中，同时让现场操作者和负责人确认，以保证不符合项能完全被理解，记录应尽可能详细，以确保审核结果的可追溯性。</w:t>
      </w:r>
    </w:p>
    <w:p w14:paraId="72E5CD38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不符合项分为严重不符合和一般不符合两类。对于未构成不符合项的问题可以作为观察项书面提出。</w:t>
      </w:r>
    </w:p>
    <w:p w14:paraId="6550E087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严重不符合项：凡是审核中发现明显不符合 ITSS能力成熟度三级要求标准规定的;  违反法律法规而造成严重质量事故的</w:t>
      </w:r>
      <w:r>
        <w:rPr>
          <w:rFonts w:hint="eastAsia"/>
          <w:lang w:eastAsia="zh-CN"/>
        </w:rPr>
        <w:t>；</w:t>
      </w:r>
      <w:r>
        <w:t>多次出现同一类一般不符合项而造成运维服务管理体系失效的;  对以前提出的不符合项采取纠正措施无效的</w:t>
      </w:r>
      <w:r>
        <w:rPr>
          <w:rFonts w:hint="eastAsia"/>
          <w:lang w:eastAsia="zh-CN"/>
        </w:rPr>
        <w:t>；</w:t>
      </w:r>
      <w:r>
        <w:t>以上违反任一条均判定为严重不符合项。</w:t>
      </w:r>
    </w:p>
    <w:p w14:paraId="07D98EB9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一般不符合项：对偶尔人为造成的不符合项且易于纠正，不造成严重后果的，不造成质量管理体系失效的不符合项，判定为一般不符合项。</w:t>
      </w:r>
    </w:p>
    <w:p w14:paraId="46242D94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观察项：对个别轻微不符合文件的规定要求，并可在当时完成纠正的，尚无确切证据说明其有不良发展趋势的问题，可视为观察项。观察项不视为不符合项，但应引起受审核部门的注意。</w:t>
      </w:r>
    </w:p>
    <w:p w14:paraId="7FA61B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0555"/>
      <w:r>
        <w:t>不符合项报告</w:t>
      </w:r>
      <w:bookmarkEnd w:id="20"/>
    </w:p>
    <w:p w14:paraId="4BF63B11">
      <w:pPr>
        <w:pStyle w:val="27"/>
        <w:bidi w:val="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 w14:paraId="3EB58A15">
      <w:pPr>
        <w:pStyle w:val="27"/>
        <w:bidi w:val="0"/>
      </w:pPr>
      <w:r>
        <w:t>填写的不符合项报告有以下项要求：</w:t>
      </w:r>
    </w:p>
    <w:p w14:paraId="5337C99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填写的不符合事实陈述要全面、清楚、正确、精练地用文字表达出来。</w:t>
      </w:r>
    </w:p>
    <w:p w14:paraId="42596D06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写明判为不合格的理由，为什么判为不合格。</w:t>
      </w:r>
    </w:p>
    <w:p w14:paraId="5EFC949E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不符合标准或相关文件的哪一条要判断正确。</w:t>
      </w:r>
    </w:p>
    <w:p w14:paraId="565C2E00">
      <w:pPr>
        <w:pStyle w:val="39"/>
        <w:numPr>
          <w:ilvl w:val="0"/>
          <w:numId w:val="10"/>
        </w:numPr>
        <w:bidi w:val="0"/>
        <w:ind w:left="425" w:leftChars="0" w:hanging="425" w:firstLineChars="0"/>
      </w:pPr>
      <w:r>
        <w:t>不符合的类型和程度要在报告中表达清楚。</w:t>
      </w:r>
    </w:p>
    <w:p w14:paraId="3B3E5A5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1329"/>
      <w:r>
        <w:t>审核报告</w:t>
      </w:r>
      <w:bookmarkEnd w:id="21"/>
    </w:p>
    <w:p w14:paraId="0BA618BF">
      <w:pPr>
        <w:pStyle w:val="27"/>
        <w:bidi w:val="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 w14:paraId="411E4F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23599"/>
      <w:r>
        <w:t>总结会议</w:t>
      </w:r>
      <w:bookmarkEnd w:id="22"/>
    </w:p>
    <w:p w14:paraId="1E7D42DF">
      <w:pPr>
        <w:pStyle w:val="27"/>
        <w:bidi w:val="0"/>
      </w:pPr>
      <w:r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 w14:paraId="142BD78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10037"/>
      <w:r>
        <w:t>服务改进措施</w:t>
      </w:r>
      <w:bookmarkEnd w:id="23"/>
    </w:p>
    <w:p w14:paraId="5DA2FD26">
      <w:pPr>
        <w:pStyle w:val="27"/>
        <w:bidi w:val="0"/>
      </w:pPr>
      <w:r>
        <w:t>《不符合项报告》分别传递给被审核部门负责人，经签字确认后，要分析产生原因，提出改进措施计划，以及完成改进措施的时间，即开始按计划采取相应的改进措施。</w:t>
      </w:r>
    </w:p>
    <w:p w14:paraId="1D5AFF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754"/>
      <w:r>
        <w:t>跟踪验证</w:t>
      </w:r>
      <w:bookmarkEnd w:id="24"/>
    </w:p>
    <w:p w14:paraId="3CA07770">
      <w:pPr>
        <w:pStyle w:val="27"/>
        <w:bidi w:val="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 w14:paraId="0D08E7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2344"/>
      <w:r>
        <w:rPr>
          <w:rFonts w:hint="eastAsia"/>
          <w:lang w:val="en-US" w:eastAsia="zh-CN"/>
        </w:rPr>
        <w:t>流程衡量指标</w:t>
      </w:r>
      <w:bookmarkEnd w:id="25"/>
    </w:p>
    <w:tbl>
      <w:tblPr>
        <w:tblStyle w:val="24"/>
        <w:tblW w:w="8515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453"/>
        <w:gridCol w:w="1453"/>
      </w:tblGrid>
      <w:tr w14:paraId="234982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656B45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1E53E5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2A9BD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0D32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53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05C9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55598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71899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16295B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4129B6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303BFB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53" w:type="dxa"/>
            <w:tcBorders>
              <w:top w:val="single" w:color="000000" w:sz="6" w:space="0"/>
              <w:right w:val="single" w:color="000000" w:sz="6" w:space="0"/>
            </w:tcBorders>
          </w:tcPr>
          <w:p w14:paraId="0EF0C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38FE75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6927"/>
      <w:r>
        <w:t>内审记录</w:t>
      </w:r>
      <w:bookmarkEnd w:id="26"/>
    </w:p>
    <w:p w14:paraId="388F8866">
      <w:pPr>
        <w:pStyle w:val="27"/>
        <w:bidi w:val="0"/>
      </w:pPr>
      <w:r>
        <w:t>质量部负责保存内审的档案，包括：</w:t>
      </w:r>
    </w:p>
    <w:p w14:paraId="0B59CAF2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《内审计划》</w:t>
      </w:r>
    </w:p>
    <w:p w14:paraId="2244A2EF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《内审检查表》</w:t>
      </w:r>
    </w:p>
    <w:p w14:paraId="14235B10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《内审报告》</w:t>
      </w:r>
    </w:p>
    <w:p w14:paraId="2DBE6E43">
      <w:pPr>
        <w:pStyle w:val="27"/>
        <w:numPr>
          <w:ilvl w:val="0"/>
          <w:numId w:val="11"/>
        </w:numPr>
        <w:bidi w:val="0"/>
        <w:ind w:left="425" w:leftChars="0" w:hanging="425" w:firstLineChars="0"/>
      </w:pPr>
      <w:r>
        <w:t>《不符合项报告》</w:t>
      </w:r>
    </w:p>
    <w:sectPr>
      <w:headerReference r:id="rId7" w:type="default"/>
      <w:footerReference r:id="rId8" w:type="default"/>
      <w:pgSz w:w="11907" w:h="16840"/>
      <w:pgMar w:top="1162" w:right="1768" w:bottom="1359" w:left="1768" w:header="830" w:footer="119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90841F">
    <w:pPr>
      <w:spacing w:line="174" w:lineRule="auto"/>
      <w:ind w:left="416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82CF2B">
    <w:pPr>
      <w:spacing w:line="174" w:lineRule="auto"/>
      <w:ind w:left="414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5FF4C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7" o:spid="_x0000_s4097" style="position:absolute;left:0pt;margin-left:88.4pt;margin-top:55.2pt;height:0.5pt;width:418.55pt;mso-position-horizontal-relative:page;mso-position-vertical-relative:page;z-index:251659264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42E59">
    <w:pPr>
      <w:spacing w:before="47" w:line="220" w:lineRule="auto"/>
      <w:ind w:right="25"/>
      <w:jc w:val="right"/>
      <w:rPr>
        <w:rFonts w:ascii="宋体" w:hAnsi="宋体" w:eastAsia="宋体" w:cs="宋体"/>
        <w:sz w:val="18"/>
        <w:szCs w:val="18"/>
      </w:rPr>
    </w:pPr>
    <w:r>
      <w:pict>
        <v:shape id="_x0000_s4098" o:spid="_x0000_s4098" style="position:absolute;left:0pt;margin-left:88.4pt;margin-top:55.2pt;height:0.5pt;width:418.55pt;mso-position-horizontal-relative:page;mso-position-vertical-relative:page;z-index:251660288;mso-width-relative:page;mso-height-relative:page;" filled="f" stroked="t" coordsize="8370,10" o:allowincell="f" path="m0,5l8370,5e">
          <v:fill on="f" focussize="0,0"/>
          <v:stroke joinstyle="miter"/>
          <v:imagedata o:title=""/>
          <o:lock v:ext="edit"/>
        </v:shape>
      </w:pict>
    </w:r>
    <w:r>
      <w:rPr>
        <w:rFonts w:ascii="宋体" w:hAnsi="宋体" w:eastAsia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6E13A4"/>
    <w:multiLevelType w:val="singleLevel"/>
    <w:tmpl w:val="8D6E13A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BE1817"/>
    <w:rsid w:val="3A1E055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2289</Words>
  <Characters>2425</Characters>
  <Lines>0</Lines>
  <Paragraphs>0</Paragraphs>
  <TotalTime>2</TotalTime>
  <ScaleCrop>false</ScaleCrop>
  <LinksUpToDate>false</LinksUpToDate>
  <CharactersWithSpaces>2544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2025-08-18T17:51:00Z</dcterms:created>
  <dc:creator>Administrator</dc:creator>
  <cp:lastModifiedBy>郝宇</cp:lastModifiedBy>
  <dcterms:modified xsi:type="dcterms:W3CDTF">2026-02-06T18:13:19Z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