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F6E38">
      <w:pPr>
        <w:pStyle w:val="26"/>
        <w:bidi w:val="0"/>
        <w:outlineLvl w:val="9"/>
        <w:rPr>
          <w:rFonts w:hint="eastAsia"/>
          <w:lang w:val="en-US" w:eastAsia="zh-CN"/>
        </w:rPr>
      </w:pPr>
    </w:p>
    <w:p w14:paraId="228A3E33">
      <w:pPr>
        <w:pStyle w:val="26"/>
        <w:bidi w:val="0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2025年满意度调查计划</w:t>
      </w:r>
    </w:p>
    <w:p w14:paraId="3E5646BA">
      <w:pPr>
        <w:pStyle w:val="27"/>
        <w:bidi w:val="0"/>
        <w:outlineLvl w:val="9"/>
      </w:pPr>
      <w:r>
        <w:t>中达丰集团有限公司</w:t>
      </w:r>
    </w:p>
    <w:p w14:paraId="268FB3B7">
      <w:pPr>
        <w:bidi w:val="0"/>
        <w:spacing w:line="219" w:lineRule="auto"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2025年4月4日</w:t>
      </w:r>
    </w:p>
    <w:p w14:paraId="2A41C8AE">
      <w:pPr>
        <w:pStyle w:val="12"/>
        <w:bidi w:val="0"/>
        <w:spacing w:line="363" w:lineRule="auto"/>
      </w:pPr>
    </w:p>
    <w:p w14:paraId="0E577B25">
      <w:pPr>
        <w:bidi w:val="0"/>
        <w:spacing w:before="91" w:line="220" w:lineRule="auto"/>
        <w:ind w:left="3811" w:leftChars="0"/>
        <w:outlineLvl w:val="9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</w:p>
    <w:p w14:paraId="0BC82C50">
      <w:pPr>
        <w:bidi w:val="0"/>
        <w:spacing w:line="131" w:lineRule="exact"/>
      </w:pPr>
    </w:p>
    <w:tbl>
      <w:tblPr>
        <w:tblStyle w:val="24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1"/>
        <w:gridCol w:w="1528"/>
        <w:gridCol w:w="2341"/>
        <w:gridCol w:w="1982"/>
        <w:gridCol w:w="1563"/>
      </w:tblGrid>
      <w:tr w14:paraId="07B57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1731" w:type="dxa"/>
            <w:vAlign w:val="center"/>
          </w:tcPr>
          <w:p w14:paraId="41B966E8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文档名称编号</w:t>
            </w:r>
          </w:p>
        </w:tc>
        <w:tc>
          <w:tcPr>
            <w:tcW w:w="7414" w:type="dxa"/>
            <w:gridSpan w:val="4"/>
            <w:vAlign w:val="center"/>
          </w:tcPr>
          <w:p w14:paraId="5B05F52C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2025年度</w:t>
            </w:r>
            <w:r>
              <w:rPr>
                <w:rFonts w:hint="eastAsia"/>
                <w:spacing w:val="-1"/>
                <w:lang w:val="en-US" w:eastAsia="zh-CN"/>
              </w:rPr>
              <w:t>满意度调查计划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MYDDC</w:t>
            </w:r>
            <w:r>
              <w:rPr>
                <w:spacing w:val="-1"/>
              </w:rPr>
              <w:t>）</w:t>
            </w:r>
          </w:p>
        </w:tc>
      </w:tr>
      <w:tr w14:paraId="2E19D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299924FC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编制单位</w:t>
            </w:r>
          </w:p>
        </w:tc>
        <w:tc>
          <w:tcPr>
            <w:tcW w:w="7414" w:type="dxa"/>
            <w:gridSpan w:val="4"/>
            <w:vAlign w:val="center"/>
          </w:tcPr>
          <w:p w14:paraId="63F175E1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中达丰集团有限公司</w:t>
            </w:r>
          </w:p>
        </w:tc>
      </w:tr>
      <w:tr w14:paraId="29D25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580593F7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文档密级</w:t>
            </w:r>
          </w:p>
        </w:tc>
        <w:tc>
          <w:tcPr>
            <w:tcW w:w="7414" w:type="dxa"/>
            <w:gridSpan w:val="4"/>
            <w:vAlign w:val="center"/>
          </w:tcPr>
          <w:p w14:paraId="24CB186A">
            <w:pPr>
              <w:pStyle w:val="25"/>
              <w:spacing w:before="78" w:line="218" w:lineRule="auto"/>
              <w:rPr>
                <w:spacing w:val="-1"/>
              </w:rPr>
            </w:pPr>
            <w:r>
              <w:rPr>
                <w:spacing w:val="-1"/>
              </w:rPr>
              <w:t>秘密</w:t>
            </w:r>
          </w:p>
        </w:tc>
      </w:tr>
      <w:tr w14:paraId="16DA3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31" w:type="dxa"/>
            <w:vAlign w:val="center"/>
          </w:tcPr>
          <w:p w14:paraId="61D9C645">
            <w:pPr>
              <w:pStyle w:val="25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28" w:type="dxa"/>
            <w:vAlign w:val="center"/>
          </w:tcPr>
          <w:p w14:paraId="32872E59">
            <w:pPr>
              <w:pStyle w:val="25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  <w:vAlign w:val="center"/>
          </w:tcPr>
          <w:p w14:paraId="7165EC18">
            <w:pPr>
              <w:pStyle w:val="25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  <w:vAlign w:val="center"/>
          </w:tcPr>
          <w:p w14:paraId="26F333E3">
            <w:pPr>
              <w:pStyle w:val="25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  <w:vAlign w:val="center"/>
          </w:tcPr>
          <w:p w14:paraId="380E07BB">
            <w:pPr>
              <w:pStyle w:val="25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70219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31" w:type="dxa"/>
            <w:vAlign w:val="center"/>
          </w:tcPr>
          <w:p w14:paraId="6FC1AD6A">
            <w:pPr>
              <w:pStyle w:val="25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28" w:type="dxa"/>
            <w:vAlign w:val="center"/>
          </w:tcPr>
          <w:p w14:paraId="34B495ED">
            <w:pPr>
              <w:pStyle w:val="25"/>
              <w:spacing w:before="162"/>
              <w:ind w:left="313"/>
              <w:rPr>
                <w:rFonts w:hint="eastAsia" w:eastAsia="等线"/>
                <w:lang w:eastAsia="zh-CN"/>
              </w:rPr>
            </w:pPr>
            <w:r>
              <w:rPr>
                <w:spacing w:val="-2"/>
              </w:rPr>
              <w:t>2025-4-4</w:t>
            </w:r>
          </w:p>
        </w:tc>
        <w:tc>
          <w:tcPr>
            <w:tcW w:w="2341" w:type="dxa"/>
            <w:vAlign w:val="center"/>
          </w:tcPr>
          <w:p w14:paraId="0CB54BE2">
            <w:pPr>
              <w:pStyle w:val="25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  <w:vAlign w:val="center"/>
          </w:tcPr>
          <w:p w14:paraId="5FC072CD">
            <w:pPr>
              <w:pStyle w:val="25"/>
              <w:spacing w:before="128" w:line="220" w:lineRule="auto"/>
              <w:ind w:left="639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  <w:tc>
          <w:tcPr>
            <w:tcW w:w="1563" w:type="dxa"/>
            <w:vAlign w:val="center"/>
          </w:tcPr>
          <w:p w14:paraId="6A1E7EE1">
            <w:pPr>
              <w:pStyle w:val="25"/>
              <w:spacing w:before="129" w:line="220" w:lineRule="auto"/>
              <w:ind w:left="439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吴向阳</w:t>
            </w:r>
          </w:p>
        </w:tc>
      </w:tr>
      <w:tr w14:paraId="6D2B80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31" w:type="dxa"/>
            <w:vAlign w:val="center"/>
          </w:tcPr>
          <w:p w14:paraId="39565D22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center"/>
          </w:tcPr>
          <w:p w14:paraId="61BFD3B6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vAlign w:val="center"/>
          </w:tcPr>
          <w:p w14:paraId="1756CB96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vAlign w:val="center"/>
          </w:tcPr>
          <w:p w14:paraId="6B82467D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vAlign w:val="center"/>
          </w:tcPr>
          <w:p w14:paraId="119B4B75">
            <w:pPr>
              <w:rPr>
                <w:rFonts w:ascii="Arial"/>
                <w:sz w:val="21"/>
              </w:rPr>
            </w:pPr>
          </w:p>
        </w:tc>
      </w:tr>
      <w:tr w14:paraId="77625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vAlign w:val="center"/>
          </w:tcPr>
          <w:p w14:paraId="1B125B72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center"/>
          </w:tcPr>
          <w:p w14:paraId="7B7A0028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vAlign w:val="center"/>
          </w:tcPr>
          <w:p w14:paraId="4DFE781F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vAlign w:val="center"/>
          </w:tcPr>
          <w:p w14:paraId="379CA1A5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vAlign w:val="center"/>
          </w:tcPr>
          <w:p w14:paraId="6C79720C">
            <w:pPr>
              <w:rPr>
                <w:rFonts w:ascii="Arial"/>
                <w:sz w:val="21"/>
              </w:rPr>
            </w:pPr>
          </w:p>
        </w:tc>
      </w:tr>
      <w:tr w14:paraId="100EC0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31" w:type="dxa"/>
            <w:vAlign w:val="center"/>
          </w:tcPr>
          <w:p w14:paraId="4D077596">
            <w:pPr>
              <w:rPr>
                <w:rFonts w:ascii="Arial"/>
                <w:sz w:val="21"/>
              </w:rPr>
            </w:pPr>
          </w:p>
        </w:tc>
        <w:tc>
          <w:tcPr>
            <w:tcW w:w="1528" w:type="dxa"/>
            <w:vAlign w:val="center"/>
          </w:tcPr>
          <w:p w14:paraId="2219FB88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  <w:vAlign w:val="center"/>
          </w:tcPr>
          <w:p w14:paraId="2ED920E7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  <w:vAlign w:val="center"/>
          </w:tcPr>
          <w:p w14:paraId="24F6B09C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  <w:vAlign w:val="center"/>
          </w:tcPr>
          <w:p w14:paraId="6531D619">
            <w:pPr>
              <w:rPr>
                <w:rFonts w:ascii="Arial"/>
                <w:sz w:val="21"/>
              </w:rPr>
            </w:pPr>
          </w:p>
        </w:tc>
      </w:tr>
    </w:tbl>
    <w:p w14:paraId="472113BB"/>
    <w:p w14:paraId="4E4A600D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142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987296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8A318F7">
          <w:pPr>
            <w:pStyle w:val="16"/>
            <w:tabs>
              <w:tab w:val="right" w:leader="dot" w:pos="8697"/>
            </w:tabs>
          </w:pPr>
          <w:bookmarkStart w:id="8" w:name="_GoBack"/>
          <w:bookmarkEnd w:id="8"/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_Toc13612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调查目的</w:t>
          </w:r>
          <w:r>
            <w:tab/>
          </w:r>
          <w:r>
            <w:fldChar w:fldCharType="begin"/>
          </w:r>
          <w:r>
            <w:instrText xml:space="preserve"> PAGEREF _Toc13612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4DAA92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_Toc938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调查范围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054FD3D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_Toc2370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调查时间安排</w:t>
          </w:r>
          <w:r>
            <w:tab/>
          </w:r>
          <w:r>
            <w:fldChar w:fldCharType="begin"/>
          </w:r>
          <w:r>
            <w:instrText xml:space="preserve"> PAGEREF _Toc2370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4C47C2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_Toc5237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调查方式</w:t>
          </w:r>
          <w:r>
            <w:tab/>
          </w:r>
          <w:r>
            <w:fldChar w:fldCharType="begin"/>
          </w:r>
          <w:r>
            <w:instrText xml:space="preserve"> PAGEREF _Toc5237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A35701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_Toc4446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调查内容与评价项</w:t>
          </w:r>
          <w:r>
            <w:tab/>
          </w:r>
          <w:r>
            <w:fldChar w:fldCharType="begin"/>
          </w:r>
          <w:r>
            <w:instrText xml:space="preserve"> PAGEREF _Toc4446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9E42F4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_Toc10187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满意度计算方式</w:t>
          </w:r>
          <w:r>
            <w:tab/>
          </w:r>
          <w:r>
            <w:fldChar w:fldCharType="begin"/>
          </w:r>
          <w:r>
            <w:instrText xml:space="preserve"> PAGEREF _Toc10187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1A3828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_Toc17146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实施责任与分工</w:t>
          </w:r>
          <w:r>
            <w:tab/>
          </w:r>
          <w:r>
            <w:fldChar w:fldCharType="begin"/>
          </w:r>
          <w:r>
            <w:instrText xml:space="preserve"> PAGEREF _Toc17146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CCB7942">
          <w:pPr>
            <w:pStyle w:val="16"/>
            <w:tabs>
              <w:tab w:val="right" w:leader="dot" w:pos="8697"/>
            </w:tabs>
          </w:pPr>
          <w:r>
            <w:fldChar w:fldCharType="begin"/>
          </w:r>
          <w:r>
            <w:instrText xml:space="preserve"> HYPERLINK \l _Toc1082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后续改进</w:t>
          </w:r>
          <w:r>
            <w:tab/>
          </w:r>
          <w:r>
            <w:fldChar w:fldCharType="begin"/>
          </w:r>
          <w:r>
            <w:instrText xml:space="preserve"> PAGEREF _Toc1082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4941FAF">
          <w:r>
            <w:fldChar w:fldCharType="end"/>
          </w:r>
        </w:p>
      </w:sdtContent>
    </w:sdt>
    <w:p w14:paraId="658113CA"/>
    <w:p w14:paraId="3FAEBC0D">
      <w:pPr>
        <w:rPr>
          <w:rFonts w:hint="eastAsia"/>
        </w:rPr>
      </w:pPr>
      <w:r>
        <w:br w:type="page"/>
      </w:r>
    </w:p>
    <w:p w14:paraId="6AE98B35">
      <w:pPr>
        <w:pStyle w:val="28"/>
        <w:bidi w:val="0"/>
        <w:rPr>
          <w:rFonts w:hint="eastAsia"/>
        </w:rPr>
      </w:pPr>
      <w:bookmarkStart w:id="0" w:name="_Toc13612"/>
      <w:r>
        <w:rPr>
          <w:rFonts w:hint="eastAsia"/>
        </w:rPr>
        <w:t>调查目的</w:t>
      </w:r>
      <w:bookmarkEnd w:id="0"/>
    </w:p>
    <w:p w14:paraId="469C673C">
      <w:pPr>
        <w:pStyle w:val="29"/>
        <w:bidi w:val="0"/>
        <w:rPr>
          <w:rFonts w:hint="eastAsia"/>
        </w:rPr>
      </w:pPr>
      <w:r>
        <w:rPr>
          <w:rFonts w:hint="eastAsia"/>
        </w:rPr>
        <w:t>为系统评估客户对公司运维服务的满意度，识别服务短板，推动持续改进，提升客户体验与服务质量，特制定本次调查计划。</w:t>
      </w:r>
    </w:p>
    <w:p w14:paraId="2453CABB">
      <w:pPr>
        <w:pStyle w:val="28"/>
        <w:bidi w:val="0"/>
        <w:rPr>
          <w:rFonts w:hint="eastAsia"/>
        </w:rPr>
      </w:pPr>
      <w:bookmarkStart w:id="1" w:name="_Toc938"/>
      <w:r>
        <w:rPr>
          <w:rFonts w:hint="eastAsia"/>
        </w:rPr>
        <w:t>调查范围</w:t>
      </w:r>
      <w:bookmarkEnd w:id="1"/>
    </w:p>
    <w:p w14:paraId="53B4F4AD">
      <w:pPr>
        <w:pStyle w:val="29"/>
        <w:bidi w:val="0"/>
        <w:rPr>
          <w:rFonts w:hint="eastAsia"/>
        </w:rPr>
      </w:pPr>
      <w:r>
        <w:rPr>
          <w:rFonts w:hint="eastAsia"/>
        </w:rPr>
        <w:t>公司当前主要运维服务客户，包括但不限于：</w:t>
      </w:r>
      <w:r>
        <w:rPr>
          <w:rFonts w:hint="eastAsia"/>
          <w:lang w:val="en-US" w:eastAsia="zh-CN"/>
        </w:rPr>
        <w:t>浙江金学问教育培训有限公司、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"https://aiqicha.baidu.com/company_detail_49961337561779" \t "https://aiqicha.baidu.com/_blank"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中国电信股份有限公司盐城分公司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"https://aiqicha.baidu.com/company_detail_62541599512189" \t "https://aiqicha.baidu.com/_blank"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中国电信股份有限公司建湖分公司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"https://aiqicha.baidu.com/company_detail_73415732665345" \t "https://aiqicha.baidu.com/_blank"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安徽开发矿业有限公司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"https://aiqicha.baidu.com/company_detail_60411085763539" \t "https://aiqicha.baidu.com/_blank"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中电鸿信信息科技有限公司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、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"https://aiqicha.baidu.com/company_detail_26638936851218" \t "https://aiqicha.baidu.com/_blank"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淮安市城市公共交通有限公司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</w:rPr>
        <w:t>等。</w:t>
      </w:r>
    </w:p>
    <w:p w14:paraId="51646A2B">
      <w:pPr>
        <w:pStyle w:val="28"/>
        <w:bidi w:val="0"/>
        <w:rPr>
          <w:rFonts w:hint="eastAsia"/>
        </w:rPr>
      </w:pPr>
      <w:bookmarkStart w:id="2" w:name="_Toc2370"/>
      <w:r>
        <w:rPr>
          <w:rFonts w:hint="eastAsia"/>
        </w:rPr>
        <w:t>调查时间安排</w:t>
      </w:r>
      <w:bookmarkEnd w:id="2"/>
    </w:p>
    <w:p w14:paraId="2CC27BD6">
      <w:pPr>
        <w:pStyle w:val="29"/>
        <w:bidi w:val="0"/>
        <w:rPr>
          <w:rFonts w:hint="eastAsia"/>
        </w:rPr>
      </w:pPr>
      <w:r>
        <w:rPr>
          <w:rFonts w:hint="eastAsia"/>
        </w:rPr>
        <w:t>调查执行期：2025年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月10日-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月13日</w:t>
      </w:r>
    </w:p>
    <w:p w14:paraId="253FDCC9">
      <w:pPr>
        <w:pStyle w:val="29"/>
        <w:bidi w:val="0"/>
        <w:rPr>
          <w:rFonts w:hint="eastAsia"/>
        </w:rPr>
      </w:pPr>
      <w:r>
        <w:rPr>
          <w:rFonts w:hint="eastAsia"/>
        </w:rPr>
        <w:t>数据汇总与报告撰写：2025年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月14日</w:t>
      </w:r>
    </w:p>
    <w:p w14:paraId="1B87A2AF">
      <w:pPr>
        <w:pStyle w:val="28"/>
        <w:bidi w:val="0"/>
        <w:rPr>
          <w:rFonts w:hint="eastAsia"/>
        </w:rPr>
      </w:pPr>
      <w:bookmarkStart w:id="3" w:name="_Toc5237"/>
      <w:r>
        <w:rPr>
          <w:rFonts w:hint="eastAsia"/>
        </w:rPr>
        <w:t>调查方式</w:t>
      </w:r>
      <w:bookmarkEnd w:id="3"/>
    </w:p>
    <w:p w14:paraId="10F30A35">
      <w:pPr>
        <w:pStyle w:val="29"/>
        <w:bidi w:val="0"/>
        <w:rPr>
          <w:rFonts w:hint="eastAsia"/>
        </w:rPr>
      </w:pPr>
      <w:r>
        <w:rPr>
          <w:rFonts w:hint="eastAsia"/>
        </w:rPr>
        <w:t>主要以电子邮件形式发送《客户满意度调查表》进行问卷调研，并对重点客户辅以电话回访确认。</w:t>
      </w:r>
    </w:p>
    <w:p w14:paraId="0292829D">
      <w:pPr>
        <w:pStyle w:val="28"/>
        <w:bidi w:val="0"/>
      </w:pPr>
      <w:bookmarkStart w:id="4" w:name="_Toc4446"/>
      <w:r>
        <w:t>调查内容与评价项</w:t>
      </w:r>
      <w:bookmarkEnd w:id="4"/>
    </w:p>
    <w:p w14:paraId="6263766E">
      <w:pPr>
        <w:pStyle w:val="29"/>
        <w:bidi w:val="0"/>
        <w:rPr>
          <w:rFonts w:hint="default"/>
        </w:rPr>
      </w:pPr>
      <w:r>
        <w:rPr>
          <w:rFonts w:hint="default"/>
        </w:rPr>
        <w:t>调查将围绕以下十个维度展开，采用评分制，具体项目与分值如下：</w:t>
      </w:r>
    </w:p>
    <w:tbl>
      <w:tblPr>
        <w:tblStyle w:val="2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644"/>
        <w:gridCol w:w="924"/>
        <w:gridCol w:w="4877"/>
      </w:tblGrid>
      <w:tr w14:paraId="0E030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926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A4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调查项目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133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标准分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E1D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评分说明</w:t>
            </w:r>
          </w:p>
        </w:tc>
      </w:tr>
      <w:tr w14:paraId="4BF2D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8415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39E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技术水平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23F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215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评估技术能力的专业性与解决问题的能力。</w:t>
            </w:r>
          </w:p>
        </w:tc>
      </w:tr>
      <w:tr w14:paraId="5493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EB62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666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服务态度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C7B0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F8627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评估服务人员的礼貌、耐心与合作精神。</w:t>
            </w:r>
          </w:p>
        </w:tc>
      </w:tr>
      <w:tr w14:paraId="13A5E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2E7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857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服务及时性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300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9D51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评估响应请求、到达现场及处理问题的速度。</w:t>
            </w:r>
          </w:p>
        </w:tc>
      </w:tr>
      <w:tr w14:paraId="188F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F679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5489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服务规范性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29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CCC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评估服务过程是否符合既定流程与标准。</w:t>
            </w:r>
          </w:p>
        </w:tc>
      </w:tr>
      <w:tr w14:paraId="60168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B7BB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9E86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问题解决的效率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5DAC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310A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评估从发现问题到解决方案提出的时间周期。</w:t>
            </w:r>
          </w:p>
        </w:tc>
      </w:tr>
      <w:tr w14:paraId="4E365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8C97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3C4C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问题解决有效性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92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685B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评估解决方案是否彻底、根本地解决了问题，无复发。</w:t>
            </w:r>
          </w:p>
        </w:tc>
      </w:tr>
      <w:tr w14:paraId="62AA1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5AF7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9ED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咨询及培训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3C6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23A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评估日常咨询解答与培训支持的实用性与清晰度。</w:t>
            </w:r>
          </w:p>
        </w:tc>
      </w:tr>
      <w:tr w14:paraId="2C23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5AC2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66F8B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使用方便性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2A1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045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评估所提供的系统、工具或文档是否易于理解和使用。</w:t>
            </w:r>
          </w:p>
        </w:tc>
      </w:tr>
      <w:tr w14:paraId="65EB2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AE1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F74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系统相关培训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72A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75E4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评估针对具体系统操作的培训质量与效果。</w:t>
            </w:r>
          </w:p>
        </w:tc>
      </w:tr>
      <w:tr w14:paraId="791DB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D8E7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835F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服务台服务水平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F743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D9E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评估服务台在接入、沟通、派单及跟进过程中的整体表现。</w:t>
            </w:r>
          </w:p>
        </w:tc>
      </w:tr>
      <w:tr w14:paraId="0C781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FED0A2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A20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C6C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/>
              </w:rPr>
              <w:t>100分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3A8D65"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</w:tr>
    </w:tbl>
    <w:p w14:paraId="000D0A34">
      <w:pPr>
        <w:keepNext w:val="0"/>
        <w:keepLines w:val="0"/>
        <w:widowControl/>
        <w:suppressLineNumbers w:val="0"/>
        <w:jc w:val="left"/>
      </w:pPr>
    </w:p>
    <w:p w14:paraId="0B426A7C">
      <w:pPr>
        <w:pStyle w:val="28"/>
        <w:bidi w:val="0"/>
        <w:rPr>
          <w:rFonts w:hint="eastAsia"/>
          <w:lang w:val="en-US" w:eastAsia="zh-CN"/>
        </w:rPr>
      </w:pPr>
      <w:bookmarkStart w:id="5" w:name="_Toc10187"/>
      <w:r>
        <w:rPr>
          <w:rFonts w:hint="eastAsia"/>
          <w:lang w:val="en-US" w:eastAsia="zh-CN"/>
        </w:rPr>
        <w:t>满意度计算方式</w:t>
      </w:r>
      <w:bookmarkEnd w:id="5"/>
    </w:p>
    <w:p w14:paraId="6E9B0D9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单项评分标准：</w:t>
      </w:r>
    </w:p>
    <w:p w14:paraId="0B8ADA9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很满意：10分</w:t>
      </w:r>
    </w:p>
    <w:p w14:paraId="69382F8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满意：8分</w:t>
      </w:r>
    </w:p>
    <w:p w14:paraId="140BD2A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基本满意：5分</w:t>
      </w:r>
    </w:p>
    <w:p w14:paraId="2DDDA15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不满意：0分</w:t>
      </w:r>
    </w:p>
    <w:p w14:paraId="14E768E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客户总分计算：单份调查表中所有项目得分相加，即为该客户本次满意度调查总分（满分100分）。</w:t>
      </w:r>
    </w:p>
    <w:p w14:paraId="72316A6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满意度等级划分：</w:t>
      </w:r>
    </w:p>
    <w:p w14:paraId="7CB58BB5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80-100分（含80分）：满意</w:t>
      </w:r>
    </w:p>
    <w:p w14:paraId="197395F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60-80分（含60分）： 尚可</w:t>
      </w:r>
    </w:p>
    <w:p w14:paraId="0E0D059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40-60分（含40分）： 不满意</w:t>
      </w:r>
    </w:p>
    <w:p w14:paraId="4728253D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低于40分： 非常不满意</w:t>
      </w:r>
    </w:p>
    <w:p w14:paraId="1B2457C8">
      <w:pPr>
        <w:pStyle w:val="40"/>
        <w:bidi w:val="0"/>
        <w:rPr>
          <w:i w:val="0"/>
        </w:rPr>
      </w:pPr>
      <m:oMathPara>
        <m:oMath>
          <m:r>
            <m:rPr>
              <m:sty m:val="p"/>
            </m:rPr>
            <w:rPr>
              <w:rFonts w:hint="eastAsia" w:ascii="Times New Roman" w:hAnsi="Times New Roman"/>
              <w:lang w:val="en-US" w:eastAsia="zh-CN"/>
            </w:rPr>
            <m:t>客户满意度平均分</m:t>
          </m:r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r>
            <m:rPr>
              <m:sty m:val="p"/>
            </m:rPr>
            <m:t>满意度调查表总得分/收回的调查 问卷总份数</m:t>
          </m:r>
        </m:oMath>
      </m:oMathPara>
    </w:p>
    <w:p w14:paraId="3567F7B3">
      <w:pPr>
        <w:pStyle w:val="28"/>
        <w:bidi w:val="0"/>
        <w:rPr>
          <w:rFonts w:hint="eastAsia"/>
          <w:lang w:val="en-US" w:eastAsia="zh-CN"/>
        </w:rPr>
      </w:pPr>
      <w:bookmarkStart w:id="6" w:name="_Toc17146"/>
      <w:r>
        <w:rPr>
          <w:rFonts w:hint="eastAsia"/>
          <w:lang w:val="en-US" w:eastAsia="zh-CN"/>
        </w:rPr>
        <w:t>实施责任与分工</w:t>
      </w:r>
      <w:bookmarkEnd w:id="6"/>
    </w:p>
    <w:p w14:paraId="25C85729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准备阶段（</w:t>
      </w:r>
      <w:r>
        <w:rPr>
          <w:rFonts w:hint="eastAsia"/>
          <w:i w:val="0"/>
          <w:lang w:val="en-US" w:eastAsia="zh-CN"/>
        </w:rPr>
        <w:t>12</w:t>
      </w:r>
      <w:r>
        <w:rPr>
          <w:rFonts w:hint="default"/>
          <w:i w:val="0"/>
          <w:lang w:val="en-US" w:eastAsia="zh-CN"/>
        </w:rPr>
        <w:t>月10日前）： 由运维部编制并最终确认调查表，质量管理部审核。</w:t>
      </w:r>
    </w:p>
    <w:p w14:paraId="4C758E76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执行阶段（</w:t>
      </w:r>
      <w:r>
        <w:rPr>
          <w:rFonts w:hint="eastAsia"/>
          <w:i w:val="0"/>
          <w:lang w:val="en-US" w:eastAsia="zh-CN"/>
        </w:rPr>
        <w:t>12</w:t>
      </w:r>
      <w:r>
        <w:rPr>
          <w:rFonts w:hint="default"/>
          <w:i w:val="0"/>
          <w:lang w:val="en-US" w:eastAsia="zh-CN"/>
        </w:rPr>
        <w:t>月10日-13日）： 由运维部客户经理负责向指定客户发送并回收调查表，确保回收率。</w:t>
      </w:r>
    </w:p>
    <w:p w14:paraId="207101BA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汇总分析阶段（</w:t>
      </w:r>
      <w:r>
        <w:rPr>
          <w:rFonts w:hint="eastAsia"/>
          <w:i w:val="0"/>
          <w:lang w:val="en-US" w:eastAsia="zh-CN"/>
        </w:rPr>
        <w:t>12</w:t>
      </w:r>
      <w:r>
        <w:rPr>
          <w:rFonts w:hint="default"/>
          <w:i w:val="0"/>
          <w:lang w:val="en-US" w:eastAsia="zh-CN"/>
        </w:rPr>
        <w:t>月14日）： 由运维部专员进行数据录入、统计与计算，并撰写《客户满意度调查结果分析报告》。</w:t>
      </w:r>
    </w:p>
    <w:p w14:paraId="46F97FAD">
      <w:pPr>
        <w:pStyle w:val="40"/>
        <w:bidi w:val="0"/>
        <w:rPr>
          <w:rFonts w:hint="default"/>
          <w:i w:val="0"/>
          <w:lang w:val="en-US" w:eastAsia="zh-CN"/>
        </w:rPr>
      </w:pPr>
      <w:r>
        <w:rPr>
          <w:rFonts w:hint="default"/>
          <w:i w:val="0"/>
          <w:lang w:val="en-US" w:eastAsia="zh-CN"/>
        </w:rPr>
        <w:t>报告与改进（</w:t>
      </w:r>
      <w:r>
        <w:rPr>
          <w:rFonts w:hint="eastAsia"/>
          <w:i w:val="0"/>
          <w:lang w:val="en-US" w:eastAsia="zh-CN"/>
        </w:rPr>
        <w:t>12</w:t>
      </w:r>
      <w:r>
        <w:rPr>
          <w:rFonts w:hint="default"/>
          <w:i w:val="0"/>
          <w:lang w:val="en-US" w:eastAsia="zh-CN"/>
        </w:rPr>
        <w:t>月14日后）：报告提交管理层审核，并召开专题会议，针对低分项制定改进措施，明确责任人与完成时限。</w:t>
      </w:r>
    </w:p>
    <w:p w14:paraId="6FAB9283">
      <w:pPr>
        <w:pStyle w:val="28"/>
        <w:bidi w:val="0"/>
        <w:rPr>
          <w:rFonts w:hint="default"/>
          <w:lang w:val="en-US" w:eastAsia="zh-CN"/>
        </w:rPr>
      </w:pPr>
      <w:bookmarkStart w:id="7" w:name="_Toc1082"/>
      <w:r>
        <w:rPr>
          <w:rFonts w:hint="default"/>
          <w:lang w:val="en-US" w:eastAsia="zh-CN"/>
        </w:rPr>
        <w:t>后续改进</w:t>
      </w:r>
      <w:bookmarkEnd w:id="7"/>
    </w:p>
    <w:p w14:paraId="1B4ACDF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调查结果将作为部门绩效考核与服务改进的重要依据。针对本次调查中发现的共性问题（如服务台用语规范性、合同流程效率等），将纳入公司持续改进计划，进行闭环跟踪管理。</w:t>
      </w:r>
    </w:p>
    <w:sectPr>
      <w:headerReference r:id="rId5" w:type="default"/>
      <w:pgSz w:w="11907" w:h="16840"/>
      <w:pgMar w:top="1240" w:right="1424" w:bottom="0" w:left="178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4EE07">
    <w:pPr>
      <w:pStyle w:val="12"/>
      <w:bidi w:val="0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50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4960FC"/>
    <w:rsid w:val="117322AE"/>
    <w:rsid w:val="252D03D1"/>
    <w:rsid w:val="478277A5"/>
    <w:rsid w:val="4BE716CC"/>
    <w:rsid w:val="54CD67D6"/>
    <w:rsid w:val="6C8859AD"/>
    <w:rsid w:val="7D582D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3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character" w:customStyle="1" w:styleId="30">
    <w:name w:val="柴_标题1 Char"/>
    <w:link w:val="28"/>
    <w:qFormat/>
    <w:uiPriority w:val="0"/>
    <w:rPr>
      <w:rFonts w:ascii="Arial" w:hAnsi="Arial" w:eastAsia="宋体"/>
      <w:sz w:val="32"/>
    </w:rPr>
  </w:style>
  <w:style w:type="character" w:customStyle="1" w:styleId="3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top w:val="nil"/>
          <w:left w:val="nil"/>
          <w:bottom w:val="single" w:color="auto" w:sz="2" w:space="0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1190</Words>
  <Characters>1288</Characters>
  <Lines>0</Lines>
  <Paragraphs>0</Paragraphs>
  <TotalTime>0</TotalTime>
  <ScaleCrop>false</ScaleCrop>
  <LinksUpToDate>false</LinksUpToDate>
  <CharactersWithSpaces>1327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2025-07-01T18:35:00Z</dcterms:created>
  <dc:creator>yin-hong</dc:creator>
  <cp:lastModifiedBy>郝宇</cp:lastModifiedBy>
  <dcterms:modified xsi:type="dcterms:W3CDTF">2026-02-06T18:38:57Z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2025-08-15T01:07:25Z</vt:filetime>
  </property>
  <property fmtid="{D5CDD505-2E9C-101B-9397-08002B2CF9AE}" pid="3" name="CRO">
    <vt:lpwstr>wqlLaW5nc29mdCBQREYgdG8gV1BTIDExNQ</vt:lpwstr>
  </property>
  <property fmtid="{D5CDD505-2E9C-101B-9397-08002B2CF9AE}" pid="4" name="ICV">
    <vt:lpwstr>8D219CD68D0241C9A5376ABA7C49063F_13</vt:lpwstr>
  </property>
  <property fmtid="{D5CDD505-2E9C-101B-9397-08002B2CF9AE}" pid="5" name="KSOProductBuildVer">
    <vt:lpwstr>2052-12.1.0.24657</vt:lpwstr>
  </property>
  <property fmtid="{D5CDD505-2E9C-101B-9397-08002B2CF9AE}" pid="6" name="KSOTemplateDocerSaveRecord">
    <vt:lpwstr>eyJoZGlkIjoiZWI4NmUzMGY2ODA3MDc4ZTFlMjZjZTAyMjM0NmVmODgiLCJ1c2VySWQiOiIxMDc1MzgyOSJ9</vt:lpwstr>
  </property>
</Properties>
</file>