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BD8BA">
      <w:pPr>
        <w:pStyle w:val="31"/>
        <w:bidi w:val="0"/>
      </w:pPr>
    </w:p>
    <w:p w14:paraId="583F5063">
      <w:pPr>
        <w:pStyle w:val="31"/>
        <w:bidi w:val="0"/>
      </w:pPr>
      <w:bookmarkStart w:id="0" w:name="_Toc1429"/>
      <w:r>
        <w:t>公司组织架构及职责说明</w:t>
      </w:r>
      <w:bookmarkEnd w:id="0"/>
    </w:p>
    <w:p w14:paraId="2537C4B5">
      <w:pPr>
        <w:pStyle w:val="32"/>
        <w:bidi w:val="0"/>
      </w:pPr>
      <w:bookmarkStart w:id="1" w:name="_Toc32474"/>
      <w:r>
        <w:t>中达丰集团有限公司</w:t>
      </w:r>
      <w:bookmarkEnd w:id="1"/>
    </w:p>
    <w:p w14:paraId="63476235">
      <w:pPr>
        <w:spacing w:line="219" w:lineRule="auto"/>
        <w:jc w:val="center"/>
        <w:rPr>
          <w:rFonts w:hint="default" w:ascii="宋体" w:hAnsi="宋体" w:eastAsia="宋体" w:cs="宋体"/>
          <w:sz w:val="36"/>
          <w:szCs w:val="36"/>
          <w:lang w:val="en-US" w:eastAsia="zh-CN"/>
        </w:rPr>
        <w:sectPr>
          <w:pgSz w:w="11912" w:h="16841"/>
          <w:pgMar w:top="1431" w:right="1786" w:bottom="2683" w:left="1786" w:header="0" w:footer="2255" w:gutter="0"/>
          <w:cols w:space="720" w:num="1"/>
        </w:sectPr>
      </w:pPr>
      <w:r>
        <w:rPr>
          <w:rFonts w:hint="eastAsia" w:ascii="宋体" w:hAnsi="宋体" w:eastAsia="宋体" w:cs="宋体"/>
          <w:sz w:val="36"/>
          <w:szCs w:val="36"/>
          <w:lang w:val="en-US" w:eastAsia="zh-CN"/>
        </w:rPr>
        <w:t>2025年4月4日</w:t>
      </w:r>
    </w:p>
    <w:p w14:paraId="0BD2656F">
      <w:pPr>
        <w:spacing w:before="58" w:line="220" w:lineRule="auto"/>
        <w:ind w:left="3626"/>
        <w:outlineLvl w:val="0"/>
        <w:rPr>
          <w:rFonts w:ascii="宋体" w:hAnsi="宋体" w:eastAsia="宋体" w:cs="宋体"/>
          <w:sz w:val="28"/>
          <w:szCs w:val="28"/>
        </w:rPr>
      </w:pPr>
      <w:bookmarkStart w:id="2" w:name="_Toc25372"/>
      <w:r>
        <w:rPr>
          <w:rFonts w:ascii="宋体" w:hAnsi="宋体" w:eastAsia="宋体" w:cs="宋体"/>
          <w:spacing w:val="-2"/>
          <w:sz w:val="28"/>
          <w:szCs w:val="28"/>
        </w:rPr>
        <w:t>文档信息</w:t>
      </w:r>
      <w:bookmarkEnd w:id="2"/>
    </w:p>
    <w:tbl>
      <w:tblPr>
        <w:tblStyle w:val="24"/>
        <w:tblW w:w="8653"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5"/>
        <w:gridCol w:w="1560"/>
        <w:gridCol w:w="2123"/>
        <w:gridCol w:w="1701"/>
        <w:gridCol w:w="1564"/>
      </w:tblGrid>
      <w:tr w14:paraId="68E04B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705" w:type="dxa"/>
          </w:tcPr>
          <w:p w14:paraId="4B70DB8D">
            <w:pPr>
              <w:pStyle w:val="25"/>
              <w:spacing w:before="134" w:line="221" w:lineRule="auto"/>
              <w:ind w:left="232"/>
            </w:pPr>
            <w:r>
              <w:rPr>
                <w:spacing w:val="-2"/>
              </w:rPr>
              <w:t>文档名称编号</w:t>
            </w:r>
          </w:p>
        </w:tc>
        <w:tc>
          <w:tcPr>
            <w:tcW w:w="6948" w:type="dxa"/>
            <w:gridSpan w:val="4"/>
          </w:tcPr>
          <w:p w14:paraId="3A0565F2">
            <w:pPr>
              <w:pStyle w:val="25"/>
              <w:spacing w:before="135" w:line="219" w:lineRule="auto"/>
              <w:ind w:left="123"/>
            </w:pPr>
            <w:r>
              <w:t>公司组织架构及职责说明（ZDFJT-ITSS</w:t>
            </w:r>
            <w:r>
              <w:rPr>
                <w:spacing w:val="-1"/>
              </w:rPr>
              <w:t>-ZZJG）</w:t>
            </w:r>
          </w:p>
        </w:tc>
      </w:tr>
      <w:tr w14:paraId="22B9BC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05" w:type="dxa"/>
          </w:tcPr>
          <w:p w14:paraId="0D301F86">
            <w:pPr>
              <w:pStyle w:val="25"/>
              <w:spacing w:before="130" w:line="221" w:lineRule="auto"/>
              <w:ind w:left="444"/>
            </w:pPr>
            <w:r>
              <w:rPr>
                <w:spacing w:val="-2"/>
              </w:rPr>
              <w:t>编制单位</w:t>
            </w:r>
          </w:p>
        </w:tc>
        <w:tc>
          <w:tcPr>
            <w:tcW w:w="6948" w:type="dxa"/>
            <w:gridSpan w:val="4"/>
          </w:tcPr>
          <w:p w14:paraId="0067F495">
            <w:pPr>
              <w:pStyle w:val="25"/>
              <w:spacing w:before="130" w:line="220" w:lineRule="auto"/>
              <w:ind w:left="117"/>
            </w:pPr>
            <w:r>
              <w:rPr>
                <w:spacing w:val="-1"/>
              </w:rPr>
              <w:t>中达丰集团有限公司</w:t>
            </w:r>
          </w:p>
        </w:tc>
      </w:tr>
      <w:tr w14:paraId="232B32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1705" w:type="dxa"/>
          </w:tcPr>
          <w:p w14:paraId="5CEB1BB2">
            <w:pPr>
              <w:pStyle w:val="25"/>
              <w:spacing w:before="133" w:line="220" w:lineRule="auto"/>
              <w:ind w:left="444"/>
            </w:pPr>
            <w:r>
              <w:rPr>
                <w:spacing w:val="-2"/>
              </w:rPr>
              <w:t>文档版本</w:t>
            </w:r>
          </w:p>
        </w:tc>
        <w:tc>
          <w:tcPr>
            <w:tcW w:w="1560" w:type="dxa"/>
          </w:tcPr>
          <w:p w14:paraId="18604E71">
            <w:pPr>
              <w:pStyle w:val="25"/>
              <w:spacing w:before="133" w:line="220" w:lineRule="auto"/>
              <w:ind w:left="370"/>
            </w:pPr>
            <w:r>
              <w:rPr>
                <w:spacing w:val="-2"/>
              </w:rPr>
              <w:t>版本日期</w:t>
            </w:r>
          </w:p>
        </w:tc>
        <w:tc>
          <w:tcPr>
            <w:tcW w:w="2123" w:type="dxa"/>
          </w:tcPr>
          <w:p w14:paraId="2B79DCC2">
            <w:pPr>
              <w:pStyle w:val="25"/>
              <w:spacing w:before="133" w:line="220" w:lineRule="auto"/>
              <w:ind w:left="654"/>
            </w:pPr>
            <w:r>
              <w:rPr>
                <w:spacing w:val="-2"/>
              </w:rPr>
              <w:t>版本说明</w:t>
            </w:r>
          </w:p>
        </w:tc>
        <w:tc>
          <w:tcPr>
            <w:tcW w:w="1701" w:type="dxa"/>
          </w:tcPr>
          <w:p w14:paraId="74603009">
            <w:pPr>
              <w:pStyle w:val="25"/>
              <w:spacing w:before="134" w:line="221" w:lineRule="auto"/>
              <w:ind w:left="600"/>
            </w:pPr>
            <w:r>
              <w:rPr>
                <w:spacing w:val="-4"/>
              </w:rPr>
              <w:t>作</w:t>
            </w:r>
            <w:r>
              <w:rPr>
                <w:spacing w:val="10"/>
              </w:rPr>
              <w:t xml:space="preserve"> </w:t>
            </w:r>
            <w:r>
              <w:rPr>
                <w:spacing w:val="-4"/>
              </w:rPr>
              <w:t>者</w:t>
            </w:r>
          </w:p>
        </w:tc>
        <w:tc>
          <w:tcPr>
            <w:tcW w:w="1564" w:type="dxa"/>
          </w:tcPr>
          <w:p w14:paraId="41B0571D">
            <w:pPr>
              <w:pStyle w:val="25"/>
              <w:spacing w:before="134" w:line="221" w:lineRule="auto"/>
              <w:ind w:left="592"/>
            </w:pPr>
            <w:r>
              <w:rPr>
                <w:spacing w:val="-5"/>
              </w:rPr>
              <w:t>审核</w:t>
            </w:r>
          </w:p>
        </w:tc>
      </w:tr>
      <w:tr w14:paraId="2A103B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1705" w:type="dxa"/>
          </w:tcPr>
          <w:p w14:paraId="121C7FF6">
            <w:pPr>
              <w:pStyle w:val="25"/>
              <w:spacing w:before="161"/>
              <w:ind w:left="646"/>
            </w:pPr>
            <w:r>
              <w:rPr>
                <w:spacing w:val="-1"/>
              </w:rPr>
              <w:t>V1.0</w:t>
            </w:r>
          </w:p>
        </w:tc>
        <w:tc>
          <w:tcPr>
            <w:tcW w:w="1560" w:type="dxa"/>
          </w:tcPr>
          <w:p w14:paraId="052CF43F">
            <w:pPr>
              <w:pStyle w:val="25"/>
              <w:spacing w:before="160" w:line="241" w:lineRule="auto"/>
              <w:ind w:left="372"/>
            </w:pPr>
            <w:r>
              <w:rPr>
                <w:spacing w:val="-2"/>
              </w:rPr>
              <w:t>2025-4-4</w:t>
            </w:r>
          </w:p>
        </w:tc>
        <w:tc>
          <w:tcPr>
            <w:tcW w:w="2123" w:type="dxa"/>
          </w:tcPr>
          <w:p w14:paraId="0FEF5FAF">
            <w:pPr>
              <w:pStyle w:val="25"/>
              <w:spacing w:before="132" w:line="220" w:lineRule="auto"/>
              <w:ind w:left="656"/>
            </w:pPr>
            <w:r>
              <w:rPr>
                <w:spacing w:val="-3"/>
              </w:rPr>
              <w:t>发布版本</w:t>
            </w:r>
          </w:p>
        </w:tc>
        <w:tc>
          <w:tcPr>
            <w:tcW w:w="1701" w:type="dxa"/>
          </w:tcPr>
          <w:p w14:paraId="451CFD2B">
            <w:pPr>
              <w:pStyle w:val="25"/>
              <w:spacing w:before="132" w:line="229" w:lineRule="auto"/>
              <w:ind w:left="653"/>
              <w:rPr>
                <w:rFonts w:hint="eastAsia" w:eastAsia="宋体"/>
                <w:lang w:val="en-US" w:eastAsia="zh-CN"/>
              </w:rPr>
            </w:pPr>
            <w:r>
              <w:rPr>
                <w:rFonts w:hint="eastAsia"/>
                <w:lang w:val="en-US" w:eastAsia="zh-CN"/>
              </w:rPr>
              <w:t>庄霞</w:t>
            </w:r>
          </w:p>
        </w:tc>
        <w:tc>
          <w:tcPr>
            <w:tcW w:w="1564" w:type="dxa"/>
          </w:tcPr>
          <w:p w14:paraId="0911037C">
            <w:pPr>
              <w:pStyle w:val="25"/>
              <w:spacing w:before="131" w:line="221" w:lineRule="auto"/>
              <w:ind w:left="480"/>
            </w:pPr>
            <w:r>
              <w:rPr>
                <w:spacing w:val="-3"/>
              </w:rPr>
              <w:t>吴向阳</w:t>
            </w:r>
          </w:p>
        </w:tc>
      </w:tr>
      <w:tr w14:paraId="243A7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8" w:hRule="atLeast"/>
        </w:trPr>
        <w:tc>
          <w:tcPr>
            <w:tcW w:w="1705" w:type="dxa"/>
          </w:tcPr>
          <w:p w14:paraId="603914BE">
            <w:pPr>
              <w:rPr>
                <w:rFonts w:ascii="Arial"/>
                <w:sz w:val="21"/>
              </w:rPr>
            </w:pPr>
          </w:p>
        </w:tc>
        <w:tc>
          <w:tcPr>
            <w:tcW w:w="1560" w:type="dxa"/>
          </w:tcPr>
          <w:p w14:paraId="5D155CA5">
            <w:pPr>
              <w:rPr>
                <w:rFonts w:ascii="Arial"/>
                <w:sz w:val="21"/>
              </w:rPr>
            </w:pPr>
          </w:p>
        </w:tc>
        <w:tc>
          <w:tcPr>
            <w:tcW w:w="2123" w:type="dxa"/>
          </w:tcPr>
          <w:p w14:paraId="20303663">
            <w:pPr>
              <w:rPr>
                <w:rFonts w:ascii="Arial"/>
                <w:sz w:val="21"/>
              </w:rPr>
            </w:pPr>
          </w:p>
        </w:tc>
        <w:tc>
          <w:tcPr>
            <w:tcW w:w="1701" w:type="dxa"/>
          </w:tcPr>
          <w:p w14:paraId="0AE066E8">
            <w:pPr>
              <w:rPr>
                <w:rFonts w:ascii="Arial"/>
                <w:sz w:val="21"/>
              </w:rPr>
            </w:pPr>
          </w:p>
        </w:tc>
        <w:tc>
          <w:tcPr>
            <w:tcW w:w="1564" w:type="dxa"/>
          </w:tcPr>
          <w:p w14:paraId="78FD59E7">
            <w:pPr>
              <w:rPr>
                <w:rFonts w:ascii="Arial"/>
                <w:sz w:val="21"/>
              </w:rPr>
            </w:pPr>
          </w:p>
        </w:tc>
      </w:tr>
      <w:tr w14:paraId="49C58B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05" w:type="dxa"/>
          </w:tcPr>
          <w:p w14:paraId="4333DB69">
            <w:pPr>
              <w:rPr>
                <w:rFonts w:ascii="Arial"/>
                <w:sz w:val="21"/>
              </w:rPr>
            </w:pPr>
          </w:p>
        </w:tc>
        <w:tc>
          <w:tcPr>
            <w:tcW w:w="1560" w:type="dxa"/>
          </w:tcPr>
          <w:p w14:paraId="678830CA">
            <w:pPr>
              <w:rPr>
                <w:rFonts w:ascii="Arial"/>
                <w:sz w:val="21"/>
              </w:rPr>
            </w:pPr>
          </w:p>
        </w:tc>
        <w:tc>
          <w:tcPr>
            <w:tcW w:w="2123" w:type="dxa"/>
          </w:tcPr>
          <w:p w14:paraId="234EB1CF">
            <w:pPr>
              <w:rPr>
                <w:rFonts w:ascii="Arial"/>
                <w:sz w:val="21"/>
              </w:rPr>
            </w:pPr>
          </w:p>
        </w:tc>
        <w:tc>
          <w:tcPr>
            <w:tcW w:w="1701" w:type="dxa"/>
          </w:tcPr>
          <w:p w14:paraId="5EADFA31">
            <w:pPr>
              <w:rPr>
                <w:rFonts w:ascii="Arial"/>
                <w:sz w:val="21"/>
              </w:rPr>
            </w:pPr>
          </w:p>
        </w:tc>
        <w:tc>
          <w:tcPr>
            <w:tcW w:w="1564" w:type="dxa"/>
          </w:tcPr>
          <w:p w14:paraId="4DF1EFF8">
            <w:pPr>
              <w:rPr>
                <w:rFonts w:ascii="Arial"/>
                <w:sz w:val="21"/>
              </w:rPr>
            </w:pPr>
          </w:p>
        </w:tc>
      </w:tr>
      <w:tr w14:paraId="42C32C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1705" w:type="dxa"/>
          </w:tcPr>
          <w:p w14:paraId="34003FC6">
            <w:pPr>
              <w:rPr>
                <w:rFonts w:ascii="Arial"/>
                <w:sz w:val="21"/>
              </w:rPr>
            </w:pPr>
          </w:p>
        </w:tc>
        <w:tc>
          <w:tcPr>
            <w:tcW w:w="1560" w:type="dxa"/>
          </w:tcPr>
          <w:p w14:paraId="0C42CBDD">
            <w:pPr>
              <w:rPr>
                <w:rFonts w:ascii="Arial"/>
                <w:sz w:val="21"/>
              </w:rPr>
            </w:pPr>
          </w:p>
        </w:tc>
        <w:tc>
          <w:tcPr>
            <w:tcW w:w="2123" w:type="dxa"/>
          </w:tcPr>
          <w:p w14:paraId="47C96095">
            <w:pPr>
              <w:rPr>
                <w:rFonts w:ascii="Arial"/>
                <w:sz w:val="21"/>
              </w:rPr>
            </w:pPr>
          </w:p>
        </w:tc>
        <w:tc>
          <w:tcPr>
            <w:tcW w:w="1701" w:type="dxa"/>
          </w:tcPr>
          <w:p w14:paraId="48ECA54E">
            <w:pPr>
              <w:rPr>
                <w:rFonts w:ascii="Arial"/>
                <w:sz w:val="21"/>
              </w:rPr>
            </w:pPr>
          </w:p>
        </w:tc>
        <w:tc>
          <w:tcPr>
            <w:tcW w:w="1564" w:type="dxa"/>
          </w:tcPr>
          <w:p w14:paraId="6EDF833B">
            <w:pPr>
              <w:rPr>
                <w:rFonts w:ascii="Arial"/>
                <w:sz w:val="21"/>
              </w:rPr>
            </w:pPr>
          </w:p>
        </w:tc>
      </w:tr>
    </w:tbl>
    <w:p w14:paraId="16F7031A">
      <w:pPr>
        <w:pStyle w:val="12"/>
      </w:pPr>
    </w:p>
    <w:p w14:paraId="50235B45">
      <w:pPr>
        <w:sectPr>
          <w:footerReference r:id="rId5" w:type="default"/>
          <w:pgSz w:w="11912" w:h="16841"/>
          <w:pgMar w:top="1431" w:right="1459" w:bottom="1714" w:left="1768" w:header="0" w:footer="1438" w:gutter="0"/>
          <w:cols w:space="720" w:num="1"/>
        </w:sectPr>
      </w:pPr>
    </w:p>
    <w:sdt>
      <w:sdtPr>
        <w:rPr>
          <w:rFonts w:ascii="宋体" w:hAnsi="宋体" w:eastAsia="宋体" w:cs="Arial"/>
          <w:snapToGrid w:val="0"/>
          <w:color w:val="000000"/>
          <w:kern w:val="0"/>
          <w:sz w:val="21"/>
          <w:szCs w:val="21"/>
          <w:lang w:val="en-US" w:eastAsia="en-US" w:bidi="ar-SA"/>
        </w:rPr>
        <w:id w:val="147472755"/>
        <w:docPartObj>
          <w:docPartGallery w:val="Table of Contents"/>
          <w:docPartUnique/>
        </w:docPartObj>
      </w:sdtPr>
      <w:sdtEndPr>
        <w:rPr>
          <w:rFonts w:ascii="Times New Roman" w:hAnsi="Times New Roman" w:eastAsia="Times New Roman" w:cs="Times New Roman"/>
          <w:snapToGrid w:val="0"/>
          <w:color w:val="000000"/>
          <w:kern w:val="0"/>
          <w:sz w:val="24"/>
          <w:szCs w:val="24"/>
          <w:lang w:val="en-US" w:eastAsia="en-US" w:bidi="ar-SA"/>
        </w:rPr>
      </w:sdtEndPr>
      <w:sdtContent>
        <w:p w14:paraId="20EB904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BD18077">
          <w:pPr>
            <w:pStyle w:val="16"/>
            <w:tabs>
              <w:tab w:val="right" w:leader="dot" w:pos="8442"/>
            </w:tabs>
          </w:pPr>
          <w:bookmarkStart w:id="24" w:name="_GoBack"/>
          <w:bookmarkEnd w:id="24"/>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_Toc1429 </w:instrText>
          </w:r>
          <w:r>
            <w:rPr>
              <w:rFonts w:ascii="Times New Roman" w:hAnsi="Times New Roman" w:eastAsia="Times New Roman" w:cs="Times New Roman"/>
              <w:szCs w:val="24"/>
            </w:rPr>
            <w:fldChar w:fldCharType="separate"/>
          </w:r>
          <w:r>
            <w:t>公司组织架构及职责说明</w:t>
          </w:r>
          <w:r>
            <w:tab/>
          </w:r>
          <w:r>
            <w:fldChar w:fldCharType="begin"/>
          </w:r>
          <w:r>
            <w:instrText xml:space="preserve"> PAGEREF _Toc1429 \h </w:instrText>
          </w:r>
          <w:r>
            <w:fldChar w:fldCharType="separate"/>
          </w:r>
          <w:r>
            <w:t>1</w:t>
          </w:r>
          <w:r>
            <w:fldChar w:fldCharType="end"/>
          </w:r>
          <w:r>
            <w:rPr>
              <w:rFonts w:ascii="Times New Roman" w:hAnsi="Times New Roman" w:eastAsia="Times New Roman" w:cs="Times New Roman"/>
              <w:szCs w:val="24"/>
            </w:rPr>
            <w:fldChar w:fldCharType="end"/>
          </w:r>
        </w:p>
        <w:p w14:paraId="5A2109AE">
          <w:pPr>
            <w:pStyle w:val="16"/>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_Toc32474 </w:instrText>
          </w:r>
          <w:r>
            <w:rPr>
              <w:rFonts w:ascii="Times New Roman" w:hAnsi="Times New Roman" w:eastAsia="Times New Roman" w:cs="Times New Roman"/>
              <w:szCs w:val="24"/>
            </w:rPr>
            <w:fldChar w:fldCharType="separate"/>
          </w:r>
          <w:r>
            <w:t>中达丰集团有限公司</w:t>
          </w:r>
          <w:r>
            <w:tab/>
          </w:r>
          <w:r>
            <w:fldChar w:fldCharType="begin"/>
          </w:r>
          <w:r>
            <w:instrText xml:space="preserve"> PAGEREF _Toc32474 \h </w:instrText>
          </w:r>
          <w:r>
            <w:fldChar w:fldCharType="separate"/>
          </w:r>
          <w:r>
            <w:t>1</w:t>
          </w:r>
          <w:r>
            <w:fldChar w:fldCharType="end"/>
          </w:r>
          <w:r>
            <w:rPr>
              <w:rFonts w:ascii="Times New Roman" w:hAnsi="Times New Roman" w:eastAsia="Times New Roman" w:cs="Times New Roman"/>
              <w:szCs w:val="24"/>
            </w:rPr>
            <w:fldChar w:fldCharType="end"/>
          </w:r>
        </w:p>
        <w:p w14:paraId="31C3C88B">
          <w:pPr>
            <w:pStyle w:val="16"/>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_Toc25372 </w:instrText>
          </w:r>
          <w:r>
            <w:rPr>
              <w:rFonts w:ascii="Times New Roman" w:hAnsi="Times New Roman" w:eastAsia="Times New Roman" w:cs="Times New Roman"/>
              <w:szCs w:val="24"/>
            </w:rPr>
            <w:fldChar w:fldCharType="separate"/>
          </w:r>
          <w:r>
            <w:rPr>
              <w:rFonts w:ascii="宋体" w:hAnsi="宋体" w:eastAsia="宋体" w:cs="宋体"/>
              <w:spacing w:val="-2"/>
              <w:szCs w:val="28"/>
            </w:rPr>
            <w:t>文档信息</w:t>
          </w:r>
          <w:r>
            <w:tab/>
          </w:r>
          <w:r>
            <w:fldChar w:fldCharType="begin"/>
          </w:r>
          <w:r>
            <w:instrText xml:space="preserve"> PAGEREF _Toc25372 \h </w:instrText>
          </w:r>
          <w:r>
            <w:fldChar w:fldCharType="separate"/>
          </w:r>
          <w:r>
            <w:t>2</w:t>
          </w:r>
          <w:r>
            <w:fldChar w:fldCharType="end"/>
          </w:r>
          <w:r>
            <w:rPr>
              <w:rFonts w:ascii="Times New Roman" w:hAnsi="Times New Roman" w:eastAsia="Times New Roman" w:cs="Times New Roman"/>
              <w:szCs w:val="24"/>
            </w:rPr>
            <w:fldChar w:fldCharType="end"/>
          </w:r>
        </w:p>
        <w:p w14:paraId="2ACAA261">
          <w:pPr>
            <w:pStyle w:val="16"/>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_Toc12948 </w:instrText>
          </w:r>
          <w:r>
            <w:rPr>
              <w:rFonts w:ascii="Times New Roman" w:hAnsi="Times New Roman" w:eastAsia="Times New Roman" w:cs="Times New Roman"/>
              <w:szCs w:val="24"/>
            </w:rPr>
            <w:fldChar w:fldCharType="separate"/>
          </w:r>
          <w:r>
            <w:rPr>
              <w:rFonts w:hint="default"/>
            </w:rPr>
            <w:t xml:space="preserve">1. </w:t>
          </w:r>
          <w:r>
            <w:t>公司组织架构</w:t>
          </w:r>
          <w:r>
            <w:tab/>
          </w:r>
          <w:r>
            <w:fldChar w:fldCharType="begin"/>
          </w:r>
          <w:r>
            <w:instrText xml:space="preserve"> PAGEREF _Toc12948 \h </w:instrText>
          </w:r>
          <w:r>
            <w:fldChar w:fldCharType="separate"/>
          </w:r>
          <w:r>
            <w:t>4</w:t>
          </w:r>
          <w:r>
            <w:fldChar w:fldCharType="end"/>
          </w:r>
          <w:r>
            <w:rPr>
              <w:rFonts w:ascii="Times New Roman" w:hAnsi="Times New Roman" w:eastAsia="Times New Roman" w:cs="Times New Roman"/>
              <w:szCs w:val="24"/>
            </w:rPr>
            <w:fldChar w:fldCharType="end"/>
          </w:r>
        </w:p>
        <w:p w14:paraId="5326BE95">
          <w:pPr>
            <w:pStyle w:val="16"/>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_Toc18975 </w:instrText>
          </w:r>
          <w:r>
            <w:rPr>
              <w:rFonts w:ascii="Times New Roman" w:hAnsi="Times New Roman" w:eastAsia="Times New Roman" w:cs="Times New Roman"/>
              <w:szCs w:val="24"/>
            </w:rPr>
            <w:fldChar w:fldCharType="separate"/>
          </w:r>
          <w:r>
            <w:rPr>
              <w:rFonts w:hint="default"/>
            </w:rPr>
            <w:t xml:space="preserve">2. </w:t>
          </w:r>
          <w:r>
            <w:t>部门及职责</w:t>
          </w:r>
          <w:r>
            <w:tab/>
          </w:r>
          <w:r>
            <w:fldChar w:fldCharType="begin"/>
          </w:r>
          <w:r>
            <w:instrText xml:space="preserve"> PAGEREF _Toc18975 \h </w:instrText>
          </w:r>
          <w:r>
            <w:fldChar w:fldCharType="separate"/>
          </w:r>
          <w:r>
            <w:t>4</w:t>
          </w:r>
          <w:r>
            <w:fldChar w:fldCharType="end"/>
          </w:r>
          <w:r>
            <w:rPr>
              <w:rFonts w:ascii="Times New Roman" w:hAnsi="Times New Roman" w:eastAsia="Times New Roman" w:cs="Times New Roman"/>
              <w:szCs w:val="24"/>
            </w:rPr>
            <w:fldChar w:fldCharType="end"/>
          </w:r>
        </w:p>
        <w:p w14:paraId="5B416F1A">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_Toc16788 </w:instrText>
          </w:r>
          <w:r>
            <w:rPr>
              <w:rFonts w:ascii="Times New Roman" w:hAnsi="Times New Roman" w:eastAsia="Times New Roman" w:cs="Times New Roman"/>
              <w:szCs w:val="24"/>
            </w:rPr>
            <w:fldChar w:fldCharType="separate"/>
          </w:r>
          <w:r>
            <w:rPr>
              <w:rFonts w:hint="default"/>
            </w:rPr>
            <w:t xml:space="preserve">2.1. </w:t>
          </w:r>
          <w:r>
            <w:t>总经理职责</w:t>
          </w:r>
          <w:r>
            <w:tab/>
          </w:r>
          <w:r>
            <w:fldChar w:fldCharType="begin"/>
          </w:r>
          <w:r>
            <w:instrText xml:space="preserve"> PAGEREF _Toc16788 \h </w:instrText>
          </w:r>
          <w:r>
            <w:fldChar w:fldCharType="separate"/>
          </w:r>
          <w:r>
            <w:t>4</w:t>
          </w:r>
          <w:r>
            <w:fldChar w:fldCharType="end"/>
          </w:r>
          <w:r>
            <w:rPr>
              <w:rFonts w:ascii="Times New Roman" w:hAnsi="Times New Roman" w:eastAsia="Times New Roman" w:cs="Times New Roman"/>
              <w:szCs w:val="24"/>
            </w:rPr>
            <w:fldChar w:fldCharType="end"/>
          </w:r>
        </w:p>
        <w:p w14:paraId="52A7A25B">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_Toc28962 </w:instrText>
          </w:r>
          <w:r>
            <w:rPr>
              <w:rFonts w:ascii="Times New Roman" w:hAnsi="Times New Roman" w:eastAsia="Times New Roman" w:cs="Times New Roman"/>
              <w:szCs w:val="24"/>
            </w:rPr>
            <w:fldChar w:fldCharType="separate"/>
          </w:r>
          <w:r>
            <w:rPr>
              <w:rFonts w:hint="default"/>
            </w:rPr>
            <w:t xml:space="preserve">2.2. </w:t>
          </w:r>
          <w:r>
            <w:t>副总经理职责</w:t>
          </w:r>
          <w:r>
            <w:tab/>
          </w:r>
          <w:r>
            <w:fldChar w:fldCharType="begin"/>
          </w:r>
          <w:r>
            <w:instrText xml:space="preserve"> PAGEREF _Toc28962 \h </w:instrText>
          </w:r>
          <w:r>
            <w:fldChar w:fldCharType="separate"/>
          </w:r>
          <w:r>
            <w:t>5</w:t>
          </w:r>
          <w:r>
            <w:fldChar w:fldCharType="end"/>
          </w:r>
          <w:r>
            <w:rPr>
              <w:rFonts w:ascii="Times New Roman" w:hAnsi="Times New Roman" w:eastAsia="Times New Roman" w:cs="Times New Roman"/>
              <w:szCs w:val="24"/>
            </w:rPr>
            <w:fldChar w:fldCharType="end"/>
          </w:r>
        </w:p>
        <w:p w14:paraId="483B13D2">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_Toc28705 </w:instrText>
          </w:r>
          <w:r>
            <w:rPr>
              <w:rFonts w:ascii="Times New Roman" w:hAnsi="Times New Roman" w:eastAsia="Times New Roman" w:cs="Times New Roman"/>
              <w:szCs w:val="24"/>
            </w:rPr>
            <w:fldChar w:fldCharType="separate"/>
          </w:r>
          <w:r>
            <w:rPr>
              <w:rFonts w:hint="default"/>
            </w:rPr>
            <w:t xml:space="preserve">2.3. </w:t>
          </w:r>
          <w:r>
            <w:t>综合管理部</w:t>
          </w:r>
          <w:r>
            <w:tab/>
          </w:r>
          <w:r>
            <w:fldChar w:fldCharType="begin"/>
          </w:r>
          <w:r>
            <w:instrText xml:space="preserve"> PAGEREF _Toc28705 \h </w:instrText>
          </w:r>
          <w:r>
            <w:fldChar w:fldCharType="separate"/>
          </w:r>
          <w:r>
            <w:t>5</w:t>
          </w:r>
          <w:r>
            <w:fldChar w:fldCharType="end"/>
          </w:r>
          <w:r>
            <w:rPr>
              <w:rFonts w:ascii="Times New Roman" w:hAnsi="Times New Roman" w:eastAsia="Times New Roman" w:cs="Times New Roman"/>
              <w:szCs w:val="24"/>
            </w:rPr>
            <w:fldChar w:fldCharType="end"/>
          </w:r>
        </w:p>
        <w:p w14:paraId="7EC9D2DA">
          <w:pPr>
            <w:pStyle w:val="13"/>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_Toc7132 </w:instrText>
          </w:r>
          <w:r>
            <w:rPr>
              <w:rFonts w:ascii="Times New Roman" w:hAnsi="Times New Roman" w:eastAsia="Times New Roman" w:cs="Times New Roman"/>
              <w:szCs w:val="24"/>
            </w:rPr>
            <w:fldChar w:fldCharType="separate"/>
          </w:r>
          <w:r>
            <w:rPr>
              <w:rFonts w:hint="default"/>
            </w:rPr>
            <w:t xml:space="preserve">2.3.1. </w:t>
          </w:r>
          <w:r>
            <w:t>人力资源部</w:t>
          </w:r>
          <w:r>
            <w:tab/>
          </w:r>
          <w:r>
            <w:fldChar w:fldCharType="begin"/>
          </w:r>
          <w:r>
            <w:instrText xml:space="preserve"> PAGEREF _Toc7132 \h </w:instrText>
          </w:r>
          <w:r>
            <w:fldChar w:fldCharType="separate"/>
          </w:r>
          <w:r>
            <w:t>5</w:t>
          </w:r>
          <w:r>
            <w:fldChar w:fldCharType="end"/>
          </w:r>
          <w:r>
            <w:rPr>
              <w:rFonts w:ascii="Times New Roman" w:hAnsi="Times New Roman" w:eastAsia="Times New Roman" w:cs="Times New Roman"/>
              <w:szCs w:val="24"/>
            </w:rPr>
            <w:fldChar w:fldCharType="end"/>
          </w:r>
        </w:p>
        <w:p w14:paraId="395E372D">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_Toc27001 </w:instrText>
          </w:r>
          <w:r>
            <w:rPr>
              <w:rFonts w:ascii="Times New Roman" w:hAnsi="Times New Roman" w:eastAsia="Times New Roman" w:cs="Times New Roman"/>
              <w:szCs w:val="24"/>
            </w:rPr>
            <w:fldChar w:fldCharType="separate"/>
          </w:r>
          <w:r>
            <w:rPr>
              <w:rFonts w:hint="default"/>
            </w:rPr>
            <w:t xml:space="preserve">2.4. </w:t>
          </w:r>
          <w:r>
            <w:t>采购部</w:t>
          </w:r>
          <w:r>
            <w:tab/>
          </w:r>
          <w:r>
            <w:fldChar w:fldCharType="begin"/>
          </w:r>
          <w:r>
            <w:instrText xml:space="preserve"> PAGEREF _Toc27001 \h </w:instrText>
          </w:r>
          <w:r>
            <w:fldChar w:fldCharType="separate"/>
          </w:r>
          <w:r>
            <w:t>6</w:t>
          </w:r>
          <w:r>
            <w:fldChar w:fldCharType="end"/>
          </w:r>
          <w:r>
            <w:rPr>
              <w:rFonts w:ascii="Times New Roman" w:hAnsi="Times New Roman" w:eastAsia="Times New Roman" w:cs="Times New Roman"/>
              <w:szCs w:val="24"/>
            </w:rPr>
            <w:fldChar w:fldCharType="end"/>
          </w:r>
        </w:p>
        <w:p w14:paraId="5BA576E4">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_Toc28007 </w:instrText>
          </w:r>
          <w:r>
            <w:rPr>
              <w:rFonts w:ascii="Times New Roman" w:hAnsi="Times New Roman" w:eastAsia="Times New Roman" w:cs="Times New Roman"/>
              <w:szCs w:val="24"/>
            </w:rPr>
            <w:fldChar w:fldCharType="separate"/>
          </w:r>
          <w:r>
            <w:rPr>
              <w:rFonts w:hint="default"/>
            </w:rPr>
            <w:t xml:space="preserve">2.5. </w:t>
          </w:r>
          <w:r>
            <w:t>运维部</w:t>
          </w:r>
          <w:r>
            <w:tab/>
          </w:r>
          <w:r>
            <w:fldChar w:fldCharType="begin"/>
          </w:r>
          <w:r>
            <w:instrText xml:space="preserve"> PAGEREF _Toc28007 \h </w:instrText>
          </w:r>
          <w:r>
            <w:fldChar w:fldCharType="separate"/>
          </w:r>
          <w:r>
            <w:t>6</w:t>
          </w:r>
          <w:r>
            <w:fldChar w:fldCharType="end"/>
          </w:r>
          <w:r>
            <w:rPr>
              <w:rFonts w:ascii="Times New Roman" w:hAnsi="Times New Roman" w:eastAsia="Times New Roman" w:cs="Times New Roman"/>
              <w:szCs w:val="24"/>
            </w:rPr>
            <w:fldChar w:fldCharType="end"/>
          </w:r>
        </w:p>
        <w:p w14:paraId="1660FF40">
          <w:pPr>
            <w:pStyle w:val="13"/>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_Toc15804 </w:instrText>
          </w:r>
          <w:r>
            <w:rPr>
              <w:rFonts w:ascii="Times New Roman" w:hAnsi="Times New Roman" w:eastAsia="Times New Roman" w:cs="Times New Roman"/>
              <w:szCs w:val="24"/>
            </w:rPr>
            <w:fldChar w:fldCharType="separate"/>
          </w:r>
          <w:r>
            <w:rPr>
              <w:rFonts w:hint="default"/>
            </w:rPr>
            <w:t xml:space="preserve">2.5.1. </w:t>
          </w:r>
          <w:r>
            <w:t>服务台</w:t>
          </w:r>
          <w:r>
            <w:tab/>
          </w:r>
          <w:r>
            <w:fldChar w:fldCharType="begin"/>
          </w:r>
          <w:r>
            <w:instrText xml:space="preserve"> PAGEREF _Toc15804 \h </w:instrText>
          </w:r>
          <w:r>
            <w:fldChar w:fldCharType="separate"/>
          </w:r>
          <w:r>
            <w:t>8</w:t>
          </w:r>
          <w:r>
            <w:fldChar w:fldCharType="end"/>
          </w:r>
          <w:r>
            <w:rPr>
              <w:rFonts w:ascii="Times New Roman" w:hAnsi="Times New Roman" w:eastAsia="Times New Roman" w:cs="Times New Roman"/>
              <w:szCs w:val="24"/>
            </w:rPr>
            <w:fldChar w:fldCharType="end"/>
          </w:r>
        </w:p>
        <w:p w14:paraId="45E4E530">
          <w:pPr>
            <w:pStyle w:val="13"/>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_Toc4369 </w:instrText>
          </w:r>
          <w:r>
            <w:rPr>
              <w:rFonts w:ascii="Times New Roman" w:hAnsi="Times New Roman" w:eastAsia="Times New Roman" w:cs="Times New Roman"/>
              <w:szCs w:val="24"/>
            </w:rPr>
            <w:fldChar w:fldCharType="separate"/>
          </w:r>
          <w:r>
            <w:rPr>
              <w:rFonts w:hint="default"/>
            </w:rPr>
            <w:t xml:space="preserve">2.5.2. </w:t>
          </w:r>
          <w:r>
            <w:t>备件库</w:t>
          </w:r>
          <w:r>
            <w:tab/>
          </w:r>
          <w:r>
            <w:fldChar w:fldCharType="begin"/>
          </w:r>
          <w:r>
            <w:instrText xml:space="preserve"> PAGEREF _Toc4369 \h </w:instrText>
          </w:r>
          <w:r>
            <w:fldChar w:fldCharType="separate"/>
          </w:r>
          <w:r>
            <w:t>9</w:t>
          </w:r>
          <w:r>
            <w:fldChar w:fldCharType="end"/>
          </w:r>
          <w:r>
            <w:rPr>
              <w:rFonts w:ascii="Times New Roman" w:hAnsi="Times New Roman" w:eastAsia="Times New Roman" w:cs="Times New Roman"/>
              <w:szCs w:val="24"/>
            </w:rPr>
            <w:fldChar w:fldCharType="end"/>
          </w:r>
        </w:p>
        <w:p w14:paraId="7699BCA4">
          <w:pPr>
            <w:pStyle w:val="13"/>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 </w:instrText>
          </w:r>
          <w:r>
            <w:rPr>
              <w:rFonts w:ascii="Times New Roman" w:hAnsi="Times New Roman" w:eastAsia="Times New Roman" w:cs="Times New Roman"/>
              <w:szCs w:val="24"/>
            </w:rPr>
            <w:fldChar w:fldCharType="separate"/>
          </w:r>
          <w:r>
            <w:rPr>
              <w:rFonts w:hint="default"/>
              <w:lang w:val="en-US"/>
            </w:rPr>
            <w:t xml:space="preserve">2.5.3. </w:t>
          </w:r>
          <w:r>
            <w:rPr>
              <w:rFonts w:hint="eastAsia"/>
              <w:lang w:val="en-US" w:eastAsia="zh-CN"/>
            </w:rPr>
            <w:t>服务知识</w:t>
          </w:r>
          <w:r>
            <w:tab/>
          </w:r>
          <w:r>
            <w:fldChar w:fldCharType="begin"/>
          </w:r>
          <w:r>
            <w:instrText xml:space="preserve"> PAGEREF _Toc4 \h </w:instrText>
          </w:r>
          <w:r>
            <w:fldChar w:fldCharType="separate"/>
          </w:r>
          <w:r>
            <w:t>9</w:t>
          </w:r>
          <w:r>
            <w:fldChar w:fldCharType="end"/>
          </w:r>
          <w:r>
            <w:rPr>
              <w:rFonts w:ascii="Times New Roman" w:hAnsi="Times New Roman" w:eastAsia="Times New Roman" w:cs="Times New Roman"/>
              <w:szCs w:val="24"/>
            </w:rPr>
            <w:fldChar w:fldCharType="end"/>
          </w:r>
        </w:p>
        <w:p w14:paraId="55074AE7">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_Toc5767 </w:instrText>
          </w:r>
          <w:r>
            <w:rPr>
              <w:rFonts w:ascii="Times New Roman" w:hAnsi="Times New Roman" w:eastAsia="Times New Roman" w:cs="Times New Roman"/>
              <w:szCs w:val="24"/>
            </w:rPr>
            <w:fldChar w:fldCharType="separate"/>
          </w:r>
          <w:r>
            <w:rPr>
              <w:rFonts w:hint="default"/>
            </w:rPr>
            <w:t xml:space="preserve">2.6. </w:t>
          </w:r>
          <w:r>
            <w:t>质量部</w:t>
          </w:r>
          <w:r>
            <w:tab/>
          </w:r>
          <w:r>
            <w:fldChar w:fldCharType="begin"/>
          </w:r>
          <w:r>
            <w:instrText xml:space="preserve"> PAGEREF _Toc5767 \h </w:instrText>
          </w:r>
          <w:r>
            <w:fldChar w:fldCharType="separate"/>
          </w:r>
          <w:r>
            <w:t>9</w:t>
          </w:r>
          <w:r>
            <w:fldChar w:fldCharType="end"/>
          </w:r>
          <w:r>
            <w:rPr>
              <w:rFonts w:ascii="Times New Roman" w:hAnsi="Times New Roman" w:eastAsia="Times New Roman" w:cs="Times New Roman"/>
              <w:szCs w:val="24"/>
            </w:rPr>
            <w:fldChar w:fldCharType="end"/>
          </w:r>
        </w:p>
        <w:p w14:paraId="67BA0A37">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_Toc3678 </w:instrText>
          </w:r>
          <w:r>
            <w:rPr>
              <w:rFonts w:ascii="Times New Roman" w:hAnsi="Times New Roman" w:eastAsia="Times New Roman" w:cs="Times New Roman"/>
              <w:szCs w:val="24"/>
            </w:rPr>
            <w:fldChar w:fldCharType="separate"/>
          </w:r>
          <w:r>
            <w:rPr>
              <w:rFonts w:hint="default"/>
            </w:rPr>
            <w:t xml:space="preserve">2.7. </w:t>
          </w:r>
          <w:r>
            <w:t>研发部</w:t>
          </w:r>
          <w:r>
            <w:tab/>
          </w:r>
          <w:r>
            <w:fldChar w:fldCharType="begin"/>
          </w:r>
          <w:r>
            <w:instrText xml:space="preserve"> PAGEREF _Toc3678 \h </w:instrText>
          </w:r>
          <w:r>
            <w:fldChar w:fldCharType="separate"/>
          </w:r>
          <w:r>
            <w:t>10</w:t>
          </w:r>
          <w:r>
            <w:fldChar w:fldCharType="end"/>
          </w:r>
          <w:r>
            <w:rPr>
              <w:rFonts w:ascii="Times New Roman" w:hAnsi="Times New Roman" w:eastAsia="Times New Roman" w:cs="Times New Roman"/>
              <w:szCs w:val="24"/>
            </w:rPr>
            <w:fldChar w:fldCharType="end"/>
          </w:r>
        </w:p>
        <w:p w14:paraId="1CA54270">
          <w:pPr>
            <w:pStyle w:val="17"/>
            <w:tabs>
              <w:tab w:val="right" w:leader="dot" w:pos="844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_Toc1129 </w:instrText>
          </w:r>
          <w:r>
            <w:rPr>
              <w:rFonts w:ascii="Times New Roman" w:hAnsi="Times New Roman" w:eastAsia="Times New Roman" w:cs="Times New Roman"/>
              <w:szCs w:val="24"/>
            </w:rPr>
            <w:fldChar w:fldCharType="separate"/>
          </w:r>
          <w:r>
            <w:rPr>
              <w:rFonts w:hint="default"/>
            </w:rPr>
            <w:t xml:space="preserve">2.8. </w:t>
          </w:r>
          <w:r>
            <w:t>应急管理小组</w:t>
          </w:r>
          <w:r>
            <w:tab/>
          </w:r>
          <w:r>
            <w:fldChar w:fldCharType="begin"/>
          </w:r>
          <w:r>
            <w:instrText xml:space="preserve"> PAGEREF _Toc1129 \h </w:instrText>
          </w:r>
          <w:r>
            <w:fldChar w:fldCharType="separate"/>
          </w:r>
          <w:r>
            <w:t>10</w:t>
          </w:r>
          <w:r>
            <w:fldChar w:fldCharType="end"/>
          </w:r>
          <w:r>
            <w:rPr>
              <w:rFonts w:ascii="Times New Roman" w:hAnsi="Times New Roman" w:eastAsia="Times New Roman" w:cs="Times New Roman"/>
              <w:szCs w:val="24"/>
            </w:rPr>
            <w:fldChar w:fldCharType="end"/>
          </w:r>
        </w:p>
        <w:p w14:paraId="4F4BFE69">
          <w:pPr>
            <w:spacing w:line="235" w:lineRule="auto"/>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zCs w:val="24"/>
            </w:rPr>
            <w:fldChar w:fldCharType="end"/>
          </w:r>
        </w:p>
      </w:sdtContent>
    </w:sdt>
    <w:p w14:paraId="64739E4C">
      <w:pPr>
        <w:spacing w:line="235" w:lineRule="auto"/>
        <w:rPr>
          <w:rFonts w:ascii="Times New Roman" w:hAnsi="Times New Roman" w:eastAsia="Times New Roman" w:cs="Times New Roman"/>
          <w:snapToGrid w:val="0"/>
          <w:color w:val="000000"/>
          <w:kern w:val="0"/>
          <w:sz w:val="24"/>
          <w:szCs w:val="24"/>
          <w:lang w:val="en-US" w:eastAsia="en-US" w:bidi="ar-SA"/>
        </w:rPr>
        <w:sectPr>
          <w:footerReference r:id="rId6" w:type="default"/>
          <w:pgSz w:w="11912" w:h="16841"/>
          <w:pgMar w:top="1431" w:right="1786" w:bottom="1714" w:left="1684" w:header="0" w:footer="1438" w:gutter="0"/>
          <w:cols w:space="720" w:num="1"/>
        </w:sectPr>
      </w:pPr>
    </w:p>
    <w:p w14:paraId="53763D68">
      <w:pPr>
        <w:pStyle w:val="26"/>
        <w:bidi w:val="0"/>
      </w:pPr>
      <w:bookmarkStart w:id="3" w:name="bookmark13"/>
      <w:bookmarkEnd w:id="3"/>
      <w:bookmarkStart w:id="4" w:name="bookmark1"/>
      <w:bookmarkEnd w:id="4"/>
      <w:bookmarkStart w:id="5" w:name="_Toc12948"/>
      <w:r>
        <w:t>公司组织架构</w:t>
      </w:r>
      <w:bookmarkEnd w:id="5"/>
    </w:p>
    <w:p w14:paraId="40B7208C">
      <w:pPr>
        <w:pStyle w:val="27"/>
        <w:bidi w:val="0"/>
      </w:pPr>
      <w:r>
        <w:t>中达丰集团有限公司的相关组织部门包括：</w:t>
      </w:r>
    </w:p>
    <w:p w14:paraId="13ED52A5">
      <w:pPr>
        <w:pStyle w:val="27"/>
        <w:bidi w:val="0"/>
      </w:pPr>
      <w:r>
        <w:t>应急管理小组、综合管理部（下设人力资源部、财务部）、采购部、运维部（下设服务台、备件库</w:t>
      </w:r>
      <w:r>
        <w:rPr>
          <w:rFonts w:hint="eastAsia"/>
          <w:lang w:eastAsia="zh-CN"/>
        </w:rPr>
        <w:t>、</w:t>
      </w:r>
      <w:r>
        <w:rPr>
          <w:rFonts w:hint="eastAsia"/>
          <w:lang w:val="en-US" w:eastAsia="zh-CN"/>
        </w:rPr>
        <w:t>服务知识</w:t>
      </w:r>
      <w:r>
        <w:t>）、质量部</w:t>
      </w:r>
      <w:r>
        <w:rPr>
          <w:rFonts w:hint="eastAsia"/>
          <w:lang w:val="en-US" w:eastAsia="zh-CN"/>
        </w:rPr>
        <w:t>和</w:t>
      </w:r>
      <w:r>
        <w:t>研发部。</w:t>
      </w:r>
    </w:p>
    <w:p w14:paraId="4C4B5CC4">
      <w:pPr>
        <w:spacing w:before="185" w:line="366" w:lineRule="auto"/>
        <w:ind w:left="42" w:right="301" w:firstLine="478"/>
        <w:rPr>
          <w:rFonts w:hint="eastAsia" w:ascii="宋体" w:hAnsi="宋体" w:cs="宋体"/>
          <w:spacing w:val="-6"/>
          <w:sz w:val="24"/>
          <w:szCs w:val="24"/>
          <w:lang w:val="en-US" w:eastAsia="zh-CN"/>
        </w:rPr>
      </w:pPr>
      <w:r>
        <w:rPr>
          <w:rFonts w:hint="eastAsia" w:ascii="宋体" w:hAnsi="宋体" w:cs="宋体"/>
          <w:spacing w:val="-6"/>
          <w:sz w:val="24"/>
          <w:szCs w:val="24"/>
          <w:lang w:val="en-US" w:eastAsia="zh-CN"/>
        </w:rPr>
        <w:t>其中深蓝色为运维相关部门</w:t>
      </w:r>
    </w:p>
    <w:p w14:paraId="4B43498E">
      <w:pPr>
        <w:spacing w:before="185" w:line="366" w:lineRule="auto"/>
        <w:ind w:right="301"/>
        <w:jc w:val="center"/>
        <w:rPr>
          <w:rFonts w:hint="default" w:ascii="宋体" w:hAnsi="宋体" w:cs="宋体"/>
          <w:spacing w:val="-6"/>
          <w:sz w:val="24"/>
          <w:szCs w:val="24"/>
          <w:lang w:val="en-US" w:eastAsia="zh-CN"/>
        </w:rPr>
      </w:pPr>
      <w:r>
        <w:rPr>
          <w:rFonts w:hint="default" w:ascii="宋体" w:hAnsi="宋体" w:cs="宋体"/>
          <w:spacing w:val="-6"/>
          <w:sz w:val="24"/>
          <w:szCs w:val="24"/>
          <w:lang w:val="en-US" w:eastAsia="zh-CN"/>
        </w:rPr>
        <w:object>
          <v:shape id="_x0000_i1025" o:spt="75" type="#_x0000_t75" style="height:157.2pt;width:397.2pt;" o:ole="t" filled="f" o:preferrelative="t" stroked="f" coordsize="21600,21600">
            <v:path/>
            <v:fill on="f" focussize="0,0"/>
            <v:stroke on="f"/>
            <v:imagedata r:id="rId10" o:title=""/>
            <o:lock v:ext="edit" aspectratio="t"/>
            <w10:wrap type="none"/>
            <w10:anchorlock/>
          </v:shape>
          <o:OLEObject Type="Embed" ProgID="Visio.Drawing.15" ShapeID="_x0000_i1025" DrawAspect="Content" ObjectID="_1468075725" r:id="rId9">
            <o:LockedField>false</o:LockedField>
          </o:OLEObject>
        </w:object>
      </w:r>
    </w:p>
    <w:p w14:paraId="68E4A183">
      <w:pPr>
        <w:pStyle w:val="26"/>
        <w:bidi w:val="0"/>
      </w:pPr>
      <w:bookmarkStart w:id="6" w:name="_Toc18975"/>
      <w:r>
        <w:t>部门及职责</w:t>
      </w:r>
      <w:bookmarkEnd w:id="6"/>
    </w:p>
    <w:p w14:paraId="501CA2B8">
      <w:pPr>
        <w:pStyle w:val="28"/>
        <w:bidi w:val="0"/>
      </w:pPr>
      <w:bookmarkStart w:id="7" w:name="_Toc16788"/>
      <w:r>
        <w:t>总经理职责</w:t>
      </w:r>
      <w:bookmarkEnd w:id="7"/>
    </w:p>
    <w:p w14:paraId="21DA8855">
      <w:pPr>
        <w:pStyle w:val="27"/>
        <w:numPr>
          <w:ilvl w:val="0"/>
          <w:numId w:val="2"/>
        </w:numPr>
        <w:ind w:left="425" w:leftChars="0" w:hanging="425" w:firstLineChars="0"/>
        <w:rPr>
          <w:rFonts w:hint="eastAsia"/>
        </w:rPr>
      </w:pPr>
      <w:r>
        <w:rPr>
          <w:rFonts w:hint="eastAsia"/>
        </w:rPr>
        <w:t>依据公司发展战略，制定和实施公司中长期的发展战略，提升公司信息技术的应用水平和竞争优势，并建立与业务战略相匹配的应急管理战略与业务连续性计划。</w:t>
      </w:r>
    </w:p>
    <w:p w14:paraId="24476FD5">
      <w:pPr>
        <w:pStyle w:val="27"/>
        <w:numPr>
          <w:ilvl w:val="0"/>
          <w:numId w:val="2"/>
        </w:numPr>
        <w:ind w:left="425" w:leftChars="0" w:hanging="425" w:firstLineChars="0"/>
        <w:rPr>
          <w:rFonts w:hint="eastAsia"/>
        </w:rPr>
      </w:pPr>
      <w:r>
        <w:rPr>
          <w:rFonts w:hint="eastAsia"/>
        </w:rPr>
        <w:t>负责制订并落实公司各项规章制度、改革方案、改革措施，组织制定、评审与演练信息技术应急预案及相关管理制度。</w:t>
      </w:r>
    </w:p>
    <w:p w14:paraId="2353955A">
      <w:pPr>
        <w:pStyle w:val="27"/>
        <w:numPr>
          <w:ilvl w:val="0"/>
          <w:numId w:val="2"/>
        </w:numPr>
        <w:ind w:left="425" w:leftChars="0" w:hanging="425" w:firstLineChars="0"/>
        <w:rPr>
          <w:rFonts w:hint="eastAsia"/>
        </w:rPr>
      </w:pPr>
      <w:r>
        <w:rPr>
          <w:rFonts w:hint="eastAsia"/>
        </w:rPr>
        <w:t>负责公司IT系统的整体规划、设计、组建、实施，通过必要的升级、新技术引进或整合等手段，组建实施及维护公司当前的系统，并保持公司系统对业务的有效支持；负责建设与维护灾备系统、应急响应机制，确保在突发事件中核心业务与数据的安全与快速恢复。</w:t>
      </w:r>
    </w:p>
    <w:p w14:paraId="7AAFBEFA">
      <w:pPr>
        <w:pStyle w:val="27"/>
        <w:numPr>
          <w:ilvl w:val="0"/>
          <w:numId w:val="2"/>
        </w:numPr>
        <w:ind w:left="425" w:leftChars="0" w:hanging="425" w:firstLineChars="0"/>
        <w:rPr>
          <w:rFonts w:hint="eastAsia"/>
        </w:rPr>
      </w:pPr>
      <w:r>
        <w:rPr>
          <w:rFonts w:hint="eastAsia"/>
        </w:rPr>
        <w:t>主导企业文化建设的基本方向，提出公司组织机构设置方案，倡导并融入风险防范与应急响应的组织文化，明确应急组织中的角色与职责。</w:t>
      </w:r>
    </w:p>
    <w:p w14:paraId="292F347A">
      <w:pPr>
        <w:pStyle w:val="27"/>
        <w:numPr>
          <w:ilvl w:val="0"/>
          <w:numId w:val="2"/>
        </w:numPr>
        <w:ind w:left="425" w:leftChars="0" w:hanging="425" w:firstLineChars="0"/>
      </w:pPr>
      <w:r>
        <w:rPr>
          <w:rFonts w:hint="eastAsia"/>
        </w:rPr>
        <w:t>负责公司内部各部门的组织管理，实施在职能权责内的人力资源管理，对公司的经济效益负责，拥有经营指挥权和各种资源分配权；在发生重大信息技术事件或业务中断时，担任应急指挥核心，负责协调资源、决策处置方案并组织恢复，最大限度降低事件影响。</w:t>
      </w:r>
    </w:p>
    <w:p w14:paraId="7B5FF8E2">
      <w:pPr>
        <w:pStyle w:val="28"/>
        <w:bidi w:val="0"/>
      </w:pPr>
      <w:bookmarkStart w:id="8" w:name="bookmark14"/>
      <w:bookmarkEnd w:id="8"/>
      <w:bookmarkStart w:id="9" w:name="_Toc28962"/>
      <w:r>
        <w:t>副总经理职责</w:t>
      </w:r>
      <w:bookmarkEnd w:id="9"/>
    </w:p>
    <w:p w14:paraId="7AB2B063">
      <w:pPr>
        <w:pStyle w:val="39"/>
        <w:numPr>
          <w:ilvl w:val="0"/>
          <w:numId w:val="3"/>
        </w:numPr>
        <w:bidi w:val="0"/>
        <w:ind w:left="425" w:leftChars="0" w:hanging="425" w:firstLineChars="0"/>
      </w:pPr>
      <w:r>
        <w:t>负责项目实施和运维工作，组织项目实施计划、维护计划，项目实施团队建立和管理，项目实施进度和质量的监督和考核，项目执行过程中主要问题的协调和解决，维护体系的建立和执行；</w:t>
      </w:r>
    </w:p>
    <w:p w14:paraId="64F406E4">
      <w:pPr>
        <w:pStyle w:val="39"/>
        <w:numPr>
          <w:ilvl w:val="0"/>
          <w:numId w:val="3"/>
        </w:numPr>
        <w:bidi w:val="0"/>
        <w:ind w:left="425" w:leftChars="0" w:hanging="425" w:firstLineChars="0"/>
      </w:pPr>
      <w:r>
        <w:t>负责分管部门的业务管理、工作执行、目标达成和考核、组织团队规划协调和建设及分管部门定期汇报；</w:t>
      </w:r>
    </w:p>
    <w:p w14:paraId="72A550CD">
      <w:pPr>
        <w:pStyle w:val="39"/>
        <w:numPr>
          <w:ilvl w:val="0"/>
          <w:numId w:val="3"/>
        </w:numPr>
        <w:bidi w:val="0"/>
        <w:ind w:left="425" w:leftChars="0" w:hanging="425" w:firstLineChars="0"/>
      </w:pPr>
      <w:r>
        <w:t>负责内部项目型工作的规范体系建设，项目内部开展的协调沟通工作，以及项目规范管理工作的组织实施和检查、考核工作；监督管理，监管督促项目实施维护工作的贯彻与执行；客户服务，提供客户服务渠道协调相关人员解决问题；</w:t>
      </w:r>
    </w:p>
    <w:p w14:paraId="78FAFC4B">
      <w:pPr>
        <w:pStyle w:val="39"/>
        <w:numPr>
          <w:ilvl w:val="0"/>
          <w:numId w:val="3"/>
        </w:numPr>
        <w:bidi w:val="0"/>
        <w:ind w:left="425" w:leftChars="0" w:hanging="425" w:firstLineChars="0"/>
      </w:pPr>
      <w:r>
        <w:t>及时掌握项目实施、运维进展和情况，定期向总经理汇报并通报其他相关部门，提出建议和意见；</w:t>
      </w:r>
    </w:p>
    <w:p w14:paraId="279E439F">
      <w:pPr>
        <w:pStyle w:val="39"/>
        <w:numPr>
          <w:ilvl w:val="0"/>
          <w:numId w:val="3"/>
        </w:numPr>
        <w:bidi w:val="0"/>
        <w:ind w:left="425" w:leftChars="0" w:hanging="425" w:firstLineChars="0"/>
      </w:pPr>
      <w:r>
        <w:t>负责编制项目费用预算、分管部门预算，经总经理审批后监督执行。</w:t>
      </w:r>
    </w:p>
    <w:p w14:paraId="69AD4833">
      <w:pPr>
        <w:pStyle w:val="39"/>
        <w:numPr>
          <w:ilvl w:val="0"/>
          <w:numId w:val="3"/>
        </w:numPr>
        <w:bidi w:val="0"/>
        <w:ind w:left="425" w:leftChars="0" w:hanging="425" w:firstLineChars="0"/>
        <w:rPr>
          <w:rFonts w:hint="default"/>
          <w:lang w:val="en-US" w:eastAsia="zh-CN"/>
        </w:rPr>
      </w:pPr>
      <w:r>
        <w:rPr>
          <w:rFonts w:hint="eastAsia"/>
          <w:lang w:val="en-US" w:eastAsia="zh-CN"/>
        </w:rPr>
        <w:t>负责统筹规划应急相关事宜,指导运维部和质量部更好的完成应急策划和应急演练。</w:t>
      </w:r>
    </w:p>
    <w:p w14:paraId="13E46B60">
      <w:pPr>
        <w:pStyle w:val="28"/>
        <w:bidi w:val="0"/>
      </w:pPr>
      <w:bookmarkStart w:id="10" w:name="_Toc28705"/>
      <w:r>
        <w:t>综合管理部</w:t>
      </w:r>
      <w:bookmarkEnd w:id="10"/>
    </w:p>
    <w:p w14:paraId="789408F9">
      <w:pPr>
        <w:pStyle w:val="29"/>
        <w:bidi w:val="0"/>
      </w:pPr>
      <w:bookmarkStart w:id="11" w:name="_Toc7132"/>
      <w:r>
        <w:t>人力资源部</w:t>
      </w:r>
      <w:bookmarkEnd w:id="11"/>
    </w:p>
    <w:p w14:paraId="76CB6C35">
      <w:pPr>
        <w:pStyle w:val="27"/>
        <w:bidi w:val="0"/>
      </w:pPr>
      <w:r>
        <w:t>依据公司规划和运维服务能力管理人员要求，负责编制公司各项人力资源管理制度，构建、完善公司的人力资源管理体系，确保运维技术人员具备应有的运维服务研发、实施、支持等能力。具体包括：</w:t>
      </w:r>
    </w:p>
    <w:p w14:paraId="1CA5875C">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负责推进公司年度整体人力资源工作计划的制定，指导、监督各部门开展日常推进；</w:t>
      </w:r>
    </w:p>
    <w:p w14:paraId="15751D4F">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根据公司年度人员规划，拓展招聘渠道，规范招聘流程，开展人员招聘</w:t>
      </w:r>
    </w:p>
    <w:p w14:paraId="5229AA37">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参与公司组织结构调整，完善各部门职能，开展工作分析，制定工作流程，编制职位说明书；</w:t>
      </w:r>
    </w:p>
    <w:p w14:paraId="1B7B4872">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bookmarkStart w:id="12" w:name="bookmark15"/>
      <w:bookmarkEnd w:id="12"/>
      <w:r>
        <w:rPr>
          <w:rFonts w:ascii="宋体" w:hAnsi="宋体" w:eastAsia="宋体" w:cs="宋体"/>
          <w:spacing w:val="-3"/>
          <w:sz w:val="24"/>
          <w:szCs w:val="24"/>
        </w:rPr>
        <w:t>负责制定公司的人才培养与储备制度，并根据年度人才策略开展人才培养系列活动；</w:t>
      </w:r>
    </w:p>
    <w:p w14:paraId="3BBCF69B">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负责编制年度员工分配预算，根据总额控制的原则对各部门的员工分配进行控制。</w:t>
      </w:r>
    </w:p>
    <w:p w14:paraId="1B5E4032">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负责构建员工福利体系，开展员工社会保险、住房公积金的缴纳统筹，办理员工的补充医疗保险和员工年度体检等；</w:t>
      </w:r>
    </w:p>
    <w:p w14:paraId="1F229C9C">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负责制定公司的绩效管理体系，开展员工绩效考核，并参与公司对各事业部、各部门的绩效考核；</w:t>
      </w:r>
    </w:p>
    <w:p w14:paraId="5072D72A">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负责起草公司劳动合同文本，规范劳动合同管理流程，并根据实际情况开展劳动用工形式的规范管理。</w:t>
      </w:r>
    </w:p>
    <w:p w14:paraId="4611C853">
      <w:pPr>
        <w:pStyle w:val="28"/>
        <w:bidi w:val="0"/>
      </w:pPr>
      <w:bookmarkStart w:id="13" w:name="bookmark16"/>
      <w:bookmarkEnd w:id="13"/>
      <w:bookmarkStart w:id="14" w:name="_Toc27001"/>
      <w:r>
        <w:t>采购部</w:t>
      </w:r>
      <w:bookmarkEnd w:id="14"/>
    </w:p>
    <w:p w14:paraId="35DA6635">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负责制订物资采购计划。</w:t>
      </w:r>
    </w:p>
    <w:p w14:paraId="386973F7">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保障质量目标的经济性，降低产品和运输费用。</w:t>
      </w:r>
    </w:p>
    <w:p w14:paraId="6169EC63">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组织制定与本部门核心职能相关的管理制度及工作流程；</w:t>
      </w:r>
    </w:p>
    <w:p w14:paraId="7BB849E5">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负责对备品备件部门提交的采购申请进行采购；</w:t>
      </w:r>
    </w:p>
    <w:p w14:paraId="1ABACB71">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负责对运维部所需日常物资进行采购；</w:t>
      </w:r>
    </w:p>
    <w:p w14:paraId="4BAF27A5">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管理采购合同及供应商文件资料，建立供应商信息资源库；</w:t>
      </w:r>
    </w:p>
    <w:p w14:paraId="1D0FCC8E">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制作、编写各类采购指标的统计报表；</w:t>
      </w:r>
    </w:p>
    <w:p w14:paraId="41777BAC">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完成领导交办的其他工作。</w:t>
      </w:r>
    </w:p>
    <w:p w14:paraId="348DCE32">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对供应商进行评估考核。</w:t>
      </w:r>
    </w:p>
    <w:p w14:paraId="5D778DF4">
      <w:pPr>
        <w:pStyle w:val="28"/>
        <w:bidi w:val="0"/>
      </w:pPr>
      <w:bookmarkStart w:id="15" w:name="bookmark17"/>
      <w:bookmarkEnd w:id="15"/>
      <w:bookmarkStart w:id="16" w:name="_Toc28007"/>
      <w:r>
        <w:t>运维部</w:t>
      </w:r>
      <w:bookmarkEnd w:id="16"/>
    </w:p>
    <w:p w14:paraId="2A137FB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负责公司各项目全生命周期管理,从项目立项到项目验收收款的全部环节的追踪、反馈、提醒等工作；负责各项目组过程的管控，确保各项目组具备公司要求的服务管理能力，确保运维服务管理过程在各项目组得到正确实施并发挥其效能，管控过程包括服务级别管理、服务报告管理、事件管理、问题管理、配置管理、变更管理、发布管理、信息安全管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容量管理、过程框架设计管理、服务可用性和连续性管理</w:t>
      </w:r>
      <w:r>
        <w:rPr>
          <w:rFonts w:ascii="宋体" w:hAnsi="宋体" w:eastAsia="宋体" w:cs="宋体"/>
          <w:sz w:val="24"/>
          <w:szCs w:val="24"/>
        </w:rPr>
        <w:t>等过程。为公司各级管理者提供生产经营数据为各级管理者的各项决策提供基础数据支撑；提升公司内部管理的规范性和运行效率。</w:t>
      </w:r>
    </w:p>
    <w:p w14:paraId="40CA73C9">
      <w:pPr>
        <w:pStyle w:val="39"/>
        <w:numPr>
          <w:ilvl w:val="0"/>
          <w:numId w:val="6"/>
        </w:numPr>
        <w:bidi w:val="0"/>
      </w:pPr>
      <w:r>
        <w:t>负责公司服务台、备件库以及</w:t>
      </w:r>
      <w:r>
        <w:rPr>
          <w:rFonts w:hint="eastAsia"/>
          <w:lang w:val="en-US" w:eastAsia="zh-CN"/>
        </w:rPr>
        <w:t>服务知识</w:t>
      </w:r>
      <w:r>
        <w:t>的管理。</w:t>
      </w:r>
    </w:p>
    <w:p w14:paraId="4552AF3A">
      <w:pPr>
        <w:pStyle w:val="39"/>
        <w:numPr>
          <w:ilvl w:val="0"/>
          <w:numId w:val="6"/>
        </w:numPr>
        <w:bidi w:val="0"/>
      </w:pPr>
      <w:r>
        <w:t>项目软硬件运维项目的实施工作、售后工作；</w:t>
      </w:r>
    </w:p>
    <w:p w14:paraId="02396A8C">
      <w:pPr>
        <w:pStyle w:val="39"/>
        <w:numPr>
          <w:ilvl w:val="0"/>
          <w:numId w:val="6"/>
        </w:numPr>
        <w:bidi w:val="0"/>
      </w:pPr>
      <w:r>
        <w:rPr>
          <w:rFonts w:hint="eastAsia"/>
          <w:lang w:eastAsia="zh-CN"/>
        </w:rPr>
        <w:t>对公司运维服务项目的质量进行监控</w:t>
      </w:r>
    </w:p>
    <w:p w14:paraId="3C01D3DA">
      <w:pPr>
        <w:pStyle w:val="39"/>
        <w:numPr>
          <w:ilvl w:val="0"/>
          <w:numId w:val="6"/>
        </w:numPr>
        <w:bidi w:val="0"/>
      </w:pPr>
      <w:r>
        <w:t>公司内部数据中心、服务器、信息平台等系统运维工作；</w:t>
      </w:r>
    </w:p>
    <w:p w14:paraId="3D0B31C7">
      <w:pPr>
        <w:pStyle w:val="39"/>
        <w:numPr>
          <w:ilvl w:val="0"/>
          <w:numId w:val="6"/>
        </w:numPr>
        <w:bidi w:val="0"/>
      </w:pPr>
      <w:r>
        <w:t>项目相关技术文档等管理工作；</w:t>
      </w:r>
    </w:p>
    <w:p w14:paraId="4A319F55">
      <w:pPr>
        <w:pStyle w:val="39"/>
        <w:numPr>
          <w:ilvl w:val="0"/>
          <w:numId w:val="6"/>
        </w:numPr>
        <w:bidi w:val="0"/>
      </w:pPr>
      <w:r>
        <w:t>搭建并管理运维工具需要的软硬件环境，并按质量管理体系，对项目实施过程资料进行规范的配置管理；</w:t>
      </w:r>
    </w:p>
    <w:p w14:paraId="57125DCA">
      <w:pPr>
        <w:pStyle w:val="39"/>
        <w:numPr>
          <w:ilvl w:val="0"/>
          <w:numId w:val="6"/>
        </w:numPr>
        <w:bidi w:val="0"/>
      </w:pPr>
      <w:r>
        <w:t>落实并不断充实、完善公司运维管理体系的具体内容，配合研发部优化运维工具或系统的技术架构、系统架构；</w:t>
      </w:r>
    </w:p>
    <w:p w14:paraId="4378A1FA">
      <w:pPr>
        <w:pStyle w:val="39"/>
        <w:numPr>
          <w:ilvl w:val="0"/>
          <w:numId w:val="6"/>
        </w:numPr>
        <w:bidi w:val="0"/>
      </w:pPr>
      <w:r>
        <w:t>负责组织制定及维护公司运维服务目录。</w:t>
      </w:r>
    </w:p>
    <w:p w14:paraId="3AB391F2">
      <w:pPr>
        <w:pStyle w:val="39"/>
        <w:numPr>
          <w:ilvl w:val="0"/>
          <w:numId w:val="6"/>
        </w:numPr>
        <w:bidi w:val="0"/>
      </w:pPr>
      <w:r>
        <w:t>是为客户提供运维交付的主体。</w:t>
      </w:r>
    </w:p>
    <w:p w14:paraId="31729569">
      <w:pPr>
        <w:pStyle w:val="39"/>
        <w:numPr>
          <w:ilvl w:val="0"/>
          <w:numId w:val="6"/>
        </w:numPr>
        <w:bidi w:val="0"/>
      </w:pPr>
      <w:r>
        <w:t>服务过程中应急事务的处理。</w:t>
      </w:r>
    </w:p>
    <w:p w14:paraId="3A406D8C">
      <w:pPr>
        <w:pStyle w:val="39"/>
        <w:numPr>
          <w:ilvl w:val="0"/>
          <w:numId w:val="6"/>
        </w:numPr>
        <w:bidi w:val="0"/>
        <w:rPr>
          <w:rFonts w:hint="eastAsia"/>
          <w:lang w:val="en-US" w:eastAsia="zh-CN"/>
        </w:rPr>
      </w:pPr>
      <w:r>
        <w:rPr>
          <w:rFonts w:hint="eastAsia"/>
          <w:lang w:val="en-US" w:eastAsia="zh-CN"/>
        </w:rPr>
        <w:t>负责最终软件库及服务数据管理</w:t>
      </w:r>
    </w:p>
    <w:p w14:paraId="0422AACD">
      <w:pPr>
        <w:pStyle w:val="39"/>
        <w:numPr>
          <w:ilvl w:val="0"/>
          <w:numId w:val="6"/>
        </w:numPr>
        <w:bidi w:val="0"/>
        <w:rPr>
          <w:rFonts w:hint="eastAsia"/>
          <w:lang w:val="en-US" w:eastAsia="zh-CN"/>
        </w:rPr>
      </w:pPr>
      <w:r>
        <w:rPr>
          <w:rFonts w:hint="eastAsia"/>
          <w:lang w:val="en-US" w:eastAsia="zh-CN"/>
        </w:rPr>
        <w:t>负责从研发部接收经过测试、验证和授权的最终版软件包</w:t>
      </w:r>
    </w:p>
    <w:p w14:paraId="6E6DBF8D">
      <w:pPr>
        <w:pStyle w:val="39"/>
        <w:numPr>
          <w:ilvl w:val="0"/>
          <w:numId w:val="6"/>
        </w:numPr>
        <w:bidi w:val="0"/>
        <w:rPr>
          <w:rFonts w:hint="eastAsia"/>
          <w:lang w:val="en-US" w:eastAsia="zh-CN"/>
        </w:rPr>
      </w:pPr>
      <w:r>
        <w:rPr>
          <w:rFonts w:hint="eastAsia"/>
          <w:lang w:val="en-US" w:eastAsia="zh-CN"/>
        </w:rPr>
        <w:t>管理软件的不同版本，确保只有正确的、被批准的版本才能部署到生产环境。</w:t>
      </w:r>
    </w:p>
    <w:p w14:paraId="43EBAF7E">
      <w:pPr>
        <w:pStyle w:val="39"/>
        <w:numPr>
          <w:ilvl w:val="0"/>
          <w:numId w:val="6"/>
        </w:numPr>
        <w:bidi w:val="0"/>
        <w:rPr>
          <w:rFonts w:hint="eastAsia"/>
          <w:lang w:val="en-US" w:eastAsia="zh-CN"/>
        </w:rPr>
      </w:pPr>
      <w:r>
        <w:rPr>
          <w:rFonts w:hint="eastAsia"/>
          <w:lang w:val="en-US" w:eastAsia="zh-CN"/>
        </w:rPr>
        <w:t>清理过期和废弃的版本。</w:t>
      </w:r>
    </w:p>
    <w:p w14:paraId="625A383D">
      <w:pPr>
        <w:pStyle w:val="39"/>
        <w:numPr>
          <w:ilvl w:val="0"/>
          <w:numId w:val="6"/>
        </w:numPr>
        <w:bidi w:val="0"/>
        <w:rPr>
          <w:rFonts w:hint="eastAsia"/>
          <w:lang w:val="en-US" w:eastAsia="zh-CN"/>
        </w:rPr>
      </w:pPr>
      <w:r>
        <w:rPr>
          <w:rFonts w:hint="eastAsia"/>
          <w:lang w:val="en-US" w:eastAsia="zh-CN"/>
        </w:rPr>
        <w:t>定义需要被管理的数据，生命周期，责任人</w:t>
      </w:r>
    </w:p>
    <w:p w14:paraId="7C3DF932">
      <w:pPr>
        <w:pStyle w:val="39"/>
        <w:numPr>
          <w:ilvl w:val="0"/>
          <w:numId w:val="6"/>
        </w:numPr>
        <w:bidi w:val="0"/>
        <w:rPr>
          <w:rFonts w:hint="eastAsia"/>
          <w:lang w:val="en-US" w:eastAsia="zh-CN"/>
        </w:rPr>
      </w:pPr>
      <w:r>
        <w:rPr>
          <w:rFonts w:hint="eastAsia"/>
          <w:lang w:val="en-US" w:eastAsia="zh-CN"/>
        </w:rPr>
        <w:t>确保所有的服务数据的准确性、一致性和时效性</w:t>
      </w:r>
    </w:p>
    <w:p w14:paraId="2F641E5A">
      <w:pPr>
        <w:pStyle w:val="39"/>
        <w:numPr>
          <w:ilvl w:val="0"/>
          <w:numId w:val="6"/>
        </w:numPr>
        <w:bidi w:val="0"/>
        <w:rPr>
          <w:rFonts w:hint="eastAsia"/>
          <w:lang w:val="en-US" w:eastAsia="zh-CN"/>
        </w:rPr>
      </w:pPr>
      <w:r>
        <w:rPr>
          <w:rFonts w:hint="eastAsia"/>
          <w:lang w:val="en-US" w:eastAsia="zh-CN"/>
        </w:rPr>
        <w:t>负责过程框架设计方案的设计和评审</w:t>
      </w:r>
    </w:p>
    <w:p w14:paraId="6B7C0396">
      <w:pPr>
        <w:pStyle w:val="39"/>
        <w:numPr>
          <w:ilvl w:val="0"/>
          <w:numId w:val="6"/>
        </w:numPr>
        <w:bidi w:val="0"/>
        <w:rPr>
          <w:rFonts w:hint="eastAsia"/>
          <w:lang w:val="en-US" w:eastAsia="zh-CN"/>
        </w:rPr>
      </w:pPr>
      <w:r>
        <w:rPr>
          <w:rFonts w:hint="eastAsia"/>
          <w:lang w:val="en-US" w:eastAsia="zh-CN"/>
        </w:rPr>
        <w:t>负责服务交付全生命周期管理，确保所有运维服务（如监控、巡检、变更、故障处理）严格遵循与客户签订的服务级别协议（SLA）、运营级别协议（OLA）执行，并对最终交付质量和客户满意度负责。</w:t>
      </w:r>
    </w:p>
    <w:p w14:paraId="0E6E1BFA">
      <w:pPr>
        <w:pStyle w:val="39"/>
        <w:numPr>
          <w:ilvl w:val="0"/>
          <w:numId w:val="6"/>
        </w:numPr>
        <w:bidi w:val="0"/>
        <w:rPr>
          <w:rFonts w:hint="eastAsia"/>
          <w:lang w:val="en-US" w:eastAsia="zh-CN"/>
        </w:rPr>
      </w:pPr>
      <w:r>
        <w:rPr>
          <w:rFonts w:hint="eastAsia"/>
          <w:lang w:val="en-US" w:eastAsia="zh-CN"/>
        </w:rPr>
        <w:t>作为客户对接的单一联系点（SPOC），负责日常服务沟通，定期组织服务评审会议，汇报服务绩效、关键成果与改进计划，主动管理客户期望与关系。</w:t>
      </w:r>
    </w:p>
    <w:p w14:paraId="077A2AEC">
      <w:pPr>
        <w:pStyle w:val="39"/>
        <w:numPr>
          <w:ilvl w:val="0"/>
          <w:numId w:val="6"/>
        </w:numPr>
        <w:bidi w:val="0"/>
        <w:rPr>
          <w:rFonts w:hint="eastAsia"/>
          <w:lang w:val="en-US" w:eastAsia="zh-CN"/>
        </w:rPr>
      </w:pPr>
      <w:r>
        <w:rPr>
          <w:rFonts w:hint="eastAsia"/>
          <w:lang w:val="en-US" w:eastAsia="zh-CN"/>
        </w:rPr>
        <w:t>负责运维团队与资源的日常调度与管理，根据工单、项目计划和事件优先级，合理分配任务，确保团队高效运转，满足服务交付要求。</w:t>
      </w:r>
    </w:p>
    <w:p w14:paraId="0A7E125F">
      <w:pPr>
        <w:pStyle w:val="39"/>
        <w:numPr>
          <w:ilvl w:val="0"/>
          <w:numId w:val="6"/>
        </w:numPr>
        <w:bidi w:val="0"/>
        <w:rPr>
          <w:rFonts w:hint="eastAsia"/>
          <w:lang w:val="en-US" w:eastAsia="zh-CN"/>
        </w:rPr>
      </w:pPr>
      <w:r>
        <w:rPr>
          <w:rFonts w:hint="eastAsia"/>
          <w:lang w:val="en-US" w:eastAsia="zh-CN"/>
        </w:rPr>
        <w:t>主导服务持续改进，基于服务报告、事件复盘及客户反馈，识别服务短板与优化机会，制定并推动实施服务改进计划（SIP），提升服务效率与客户体验。</w:t>
      </w:r>
    </w:p>
    <w:p w14:paraId="609E530B">
      <w:pPr>
        <w:pStyle w:val="39"/>
        <w:numPr>
          <w:ilvl w:val="0"/>
          <w:numId w:val="6"/>
        </w:numPr>
        <w:bidi w:val="0"/>
        <w:rPr>
          <w:rFonts w:hint="eastAsia"/>
          <w:lang w:val="en-US" w:eastAsia="zh-CN"/>
        </w:rPr>
      </w:pPr>
      <w:r>
        <w:rPr>
          <w:rFonts w:hint="eastAsia"/>
          <w:lang w:val="en-US" w:eastAsia="zh-CN"/>
        </w:rPr>
        <w:t>负责制定、维护与演练应急预案，针对核心服务与系统，编制详尽的应急响应预案（包括故障诊断、升级流程、沟通机制），并定期组织桌面推演与实战演练，确保预案有效性。</w:t>
      </w:r>
    </w:p>
    <w:p w14:paraId="2090936F">
      <w:pPr>
        <w:pStyle w:val="39"/>
        <w:numPr>
          <w:ilvl w:val="0"/>
          <w:numId w:val="6"/>
        </w:numPr>
        <w:bidi w:val="0"/>
        <w:rPr>
          <w:rFonts w:hint="eastAsia"/>
          <w:lang w:val="en-US" w:eastAsia="zh-CN"/>
        </w:rPr>
      </w:pPr>
      <w:r>
        <w:rPr>
          <w:rFonts w:hint="eastAsia"/>
          <w:lang w:val="en-US" w:eastAsia="zh-CN"/>
        </w:rPr>
        <w:t>管理与优化事件响应流程，监控事件处理全过程，确保流程符合规范，升级机制畅通无阻。事后组织编写《重大事件报告》，进行根因分析与整改跟踪。</w:t>
      </w:r>
    </w:p>
    <w:p w14:paraId="2C997304">
      <w:pPr>
        <w:pStyle w:val="39"/>
        <w:numPr>
          <w:ilvl w:val="0"/>
          <w:numId w:val="6"/>
        </w:numPr>
        <w:bidi w:val="0"/>
        <w:rPr>
          <w:rFonts w:hint="eastAsia"/>
          <w:lang w:val="en-US" w:eastAsia="zh-CN"/>
        </w:rPr>
      </w:pPr>
      <w:r>
        <w:rPr>
          <w:rFonts w:hint="eastAsia"/>
          <w:lang w:val="en-US" w:eastAsia="zh-CN"/>
        </w:rPr>
        <w:t>负责应急沟通与通告，在事件发生时，根据预案对内对外（客户、管理层、相关团队）发布准确、及时的应急通告，管理信息流，避免沟通混乱。</w:t>
      </w:r>
    </w:p>
    <w:p w14:paraId="327508A8">
      <w:pPr>
        <w:pStyle w:val="39"/>
        <w:numPr>
          <w:ilvl w:val="0"/>
          <w:numId w:val="6"/>
        </w:numPr>
        <w:bidi w:val="0"/>
        <w:rPr>
          <w:rFonts w:hint="eastAsia"/>
          <w:lang w:val="en-US" w:eastAsia="zh-CN"/>
        </w:rPr>
      </w:pPr>
      <w:r>
        <w:rPr>
          <w:rFonts w:hint="eastAsia"/>
          <w:lang w:val="en-US" w:eastAsia="zh-CN"/>
        </w:rPr>
        <w:t>负责应急能力建设与日常准备，管理应急知识库、工具包和备用资源清单（如备机、备件、云资源），确保在需要时可立即投入使用。定期评估并提升团队的应急响应技能。</w:t>
      </w:r>
    </w:p>
    <w:p w14:paraId="39695082">
      <w:pPr>
        <w:pStyle w:val="29"/>
        <w:bidi w:val="0"/>
      </w:pPr>
      <w:bookmarkStart w:id="17" w:name="_Toc15804"/>
      <w:r>
        <w:t>服务台</w:t>
      </w:r>
      <w:bookmarkEnd w:id="17"/>
    </w:p>
    <w:p w14:paraId="35C230C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负责公司服务台的运行与维护，接受项目组、客户、运维人员的运行维护服务请求，并形成相应请求记录，及时跟踪服务请求的处理进展。同时开展客户满意度调查，客户回访，客户投诉等，同时负责对服务台服务流程的调研与反馈。</w:t>
      </w:r>
    </w:p>
    <w:p w14:paraId="7236EB3E">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bookmarkStart w:id="18" w:name="bookmark18"/>
      <w:bookmarkEnd w:id="18"/>
      <w:r>
        <w:rPr>
          <w:rFonts w:ascii="宋体" w:hAnsi="宋体" w:eastAsia="宋体" w:cs="宋体"/>
          <w:sz w:val="24"/>
          <w:szCs w:val="24"/>
        </w:rPr>
        <w:t>持续优化运维服务台管理制度，开展对服务台人员的培训工作与考核；</w:t>
      </w:r>
    </w:p>
    <w:p w14:paraId="6DCF483F">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负责服务台的运作，使用有效手段和方法受理需方的运行维护服务请求，及时跟踪服务请求的处理进展；</w:t>
      </w:r>
    </w:p>
    <w:p w14:paraId="02F7EB43">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负责处理用户服务突发性公众事件、参与用户反馈意见的分析和处理；</w:t>
      </w:r>
    </w:p>
    <w:p w14:paraId="2235FA85">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配合质量部负责顾客满意度信息的收集，为改进服务质量提供依据；</w:t>
      </w:r>
    </w:p>
    <w:p w14:paraId="51A335F4">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负责日常事件和问题的录入工作；</w:t>
      </w:r>
    </w:p>
    <w:p w14:paraId="36FD5C3A">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负责将现场反馈的问题进行分类指派相应的人员进行处理；</w:t>
      </w:r>
    </w:p>
    <w:p w14:paraId="7393596D">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负责用户的服务请求，解答用户的疑问，提供客户咨询和建议；</w:t>
      </w:r>
    </w:p>
    <w:p w14:paraId="63DF2B07">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负责故障处理过程中对约定服务级别进行预警和告警；</w:t>
      </w:r>
    </w:p>
    <w:p w14:paraId="61600B3A">
      <w:pPr>
        <w:pStyle w:val="29"/>
        <w:bidi w:val="0"/>
      </w:pPr>
      <w:bookmarkStart w:id="19" w:name="_Toc4369"/>
      <w:r>
        <w:t>备件库</w:t>
      </w:r>
      <w:bookmarkEnd w:id="19"/>
    </w:p>
    <w:p w14:paraId="16547B16">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负责组织制定备品备件的管理实施细则及备品备件配置标准；</w:t>
      </w:r>
    </w:p>
    <w:p w14:paraId="15C4C76A">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根据运维部提交备品备件更换申请，做备件的准备及出库工作；</w:t>
      </w:r>
    </w:p>
    <w:p w14:paraId="486CA5DC">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制定备品备件库存管理计划，对紧缺物资进行统计、汇总，向采购部提交申请；</w:t>
      </w:r>
    </w:p>
    <w:p w14:paraId="7170AB6F">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对采购部所采物资进行入库登记、物品归类整理，并负责对运维部备品的信息管理，发布公司备品备件信息。</w:t>
      </w:r>
    </w:p>
    <w:p w14:paraId="58883548">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对库存物品定期进行盘点，组织技术人员对备品备件进行检测。</w:t>
      </w:r>
    </w:p>
    <w:p w14:paraId="5CF83453">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备品库根据出库数量，库存变化，应急事件等发生频次进行统计分析并提交报告。</w:t>
      </w:r>
    </w:p>
    <w:p w14:paraId="4743EE85">
      <w:pPr>
        <w:pStyle w:val="29"/>
        <w:bidi w:val="0"/>
        <w:rPr>
          <w:rFonts w:hint="default"/>
          <w:lang w:val="en-US"/>
        </w:rPr>
      </w:pPr>
      <w:bookmarkStart w:id="20" w:name="_Toc4"/>
      <w:r>
        <w:rPr>
          <w:rFonts w:hint="eastAsia"/>
          <w:lang w:val="en-US" w:eastAsia="zh-CN"/>
        </w:rPr>
        <w:t>服务知识</w:t>
      </w:r>
      <w:bookmarkEnd w:id="20"/>
    </w:p>
    <w:p w14:paraId="6C3447E0">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对知识收集、分析、生成、提交</w:t>
      </w:r>
    </w:p>
    <w:p w14:paraId="6A15060B">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对知识管理流程提出改进、优化建议</w:t>
      </w:r>
    </w:p>
    <w:p w14:paraId="7BDA05EC">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回顾整理服务知识中的知识；负责知识的汇总及分类整理</w:t>
      </w:r>
    </w:p>
    <w:p w14:paraId="51E0E899">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对知识进行审核；确保知识可用于实际维护中，不会出现破坏性副作用。</w:t>
      </w:r>
    </w:p>
    <w:p w14:paraId="0F37C1B6">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val="en-US" w:eastAsia="zh-CN"/>
        </w:rPr>
        <w:t>监督知识质量、深度，包括知识信息的更新，加强知识生成，产生新的知识，促进知识共享的过程。</w:t>
      </w:r>
    </w:p>
    <w:p w14:paraId="3509B58E">
      <w:pPr>
        <w:pStyle w:val="28"/>
        <w:bidi w:val="0"/>
      </w:pPr>
      <w:bookmarkStart w:id="21" w:name="_Toc5767"/>
      <w:r>
        <w:t>质量部</w:t>
      </w:r>
      <w:bookmarkEnd w:id="21"/>
    </w:p>
    <w:p w14:paraId="6D470F9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从满足公司业务需求和运维服务能力管理要求出发，通过制定质量服务政策，设定质量服务目标，制定质量管理计划，协调资源、落实人员角色和职责，管理风险和持续改进等方法，领导和开展各项服务能力管理活动。</w:t>
      </w:r>
    </w:p>
    <w:p w14:paraId="16602B08">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质量部负责组织对运维服务能力管理体系（包括流程）的检查回顾，落实相应的改进工作，提高公司服务能力管理的有效性。</w:t>
      </w:r>
    </w:p>
    <w:p w14:paraId="2A22E681">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负责定期对公司运维服务管理体系进行内部评审，对内审中发现的问题进行跟踪记录，负责项目改进措施的监督及检查。</w:t>
      </w:r>
    </w:p>
    <w:p w14:paraId="2051EECB">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负责管理评审工作的开展，并出具相关的计划以及报告。</w:t>
      </w:r>
    </w:p>
    <w:p w14:paraId="10564204">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负责组织级客户满意度的调查，投诉。</w:t>
      </w:r>
    </w:p>
    <w:p w14:paraId="3D7E7072">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负责公司资质的管理和维护，并作为牵头部门负责相关资质的申报、年审、中期调查等相关事宜，确保公司业务的顺利开展。</w:t>
      </w:r>
    </w:p>
    <w:p w14:paraId="2C9361D5">
      <w:pPr>
        <w:pStyle w:val="28"/>
        <w:bidi w:val="0"/>
      </w:pPr>
      <w:bookmarkStart w:id="22" w:name="_Toc3678"/>
      <w:r>
        <w:t>研发部</w:t>
      </w:r>
      <w:bookmarkEnd w:id="22"/>
    </w:p>
    <w:p w14:paraId="70295CD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研发部根据业务和市场分析，根据运维服务能力管理要求，制定研发规划，包括新技术和前沿技术的应用、技术储备等。同时，研发部对内负责公司运维类产品或运维工具的研发,提供运维技术支持和支撑，具体如下：</w:t>
      </w:r>
    </w:p>
    <w:p w14:paraId="64490120">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跟踪运维技术发展，根据公司运维业务发展需要开发运维管理工具、发现问题的技术和解决问题的技术；</w:t>
      </w:r>
    </w:p>
    <w:p w14:paraId="390E8DCD">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负责将用户前期的业务需求转化为软件可实现的需求；</w:t>
      </w:r>
    </w:p>
    <w:p w14:paraId="59B20433">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负责新产品的评审、规划工作；</w:t>
      </w:r>
    </w:p>
    <w:p w14:paraId="2F85CE46">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负责制定现有产品的发展方向和开发计划；</w:t>
      </w:r>
    </w:p>
    <w:p w14:paraId="2E3BB42C">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负责产品/模块的架构规划和前期设计；</w:t>
      </w:r>
    </w:p>
    <w:p w14:paraId="6211A7C2">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建设和培养研发相关的技术队伍，组织公司内外的产品技术培训；</w:t>
      </w:r>
    </w:p>
    <w:p w14:paraId="24584ABF">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负责研发部门及人员考核。</w:t>
      </w:r>
    </w:p>
    <w:p w14:paraId="750ABE0B">
      <w:pPr>
        <w:pStyle w:val="28"/>
        <w:bidi w:val="0"/>
      </w:pPr>
      <w:bookmarkStart w:id="23" w:name="_Toc1129"/>
      <w:r>
        <w:t>应急管理小组</w:t>
      </w:r>
      <w:bookmarkEnd w:id="23"/>
    </w:p>
    <w:p w14:paraId="630B3C1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hint="eastAsia" w:ascii="宋体" w:hAnsi="宋体" w:eastAsia="宋体" w:cs="宋体"/>
          <w:sz w:val="24"/>
          <w:szCs w:val="24"/>
          <w:lang w:val="en-US" w:eastAsia="zh-CN"/>
        </w:rPr>
        <w:t>成立由副总担任组长的应急管理小组</w:t>
      </w:r>
      <w:r>
        <w:rPr>
          <w:rFonts w:ascii="宋体" w:hAnsi="宋体" w:eastAsia="宋体" w:cs="宋体"/>
          <w:sz w:val="24"/>
          <w:szCs w:val="24"/>
        </w:rPr>
        <w:t>，</w:t>
      </w:r>
      <w:r>
        <w:rPr>
          <w:rFonts w:hint="eastAsia" w:ascii="宋体" w:hAnsi="宋体" w:eastAsia="宋体" w:cs="宋体"/>
          <w:sz w:val="24"/>
          <w:szCs w:val="24"/>
          <w:lang w:val="en-US" w:eastAsia="zh-CN"/>
        </w:rPr>
        <w:t>主要工作成员包括质量部</w:t>
      </w:r>
      <w:r>
        <w:rPr>
          <w:rFonts w:hint="eastAsia" w:ascii="宋体" w:hAnsi="宋体" w:cs="宋体"/>
          <w:sz w:val="24"/>
          <w:szCs w:val="24"/>
          <w:lang w:val="en-US" w:eastAsia="zh-CN"/>
        </w:rPr>
        <w:t>经理</w:t>
      </w:r>
      <w:r>
        <w:rPr>
          <w:rFonts w:hint="eastAsia" w:ascii="宋体" w:hAnsi="宋体" w:eastAsia="宋体" w:cs="宋体"/>
          <w:sz w:val="24"/>
          <w:szCs w:val="24"/>
          <w:lang w:val="en-US" w:eastAsia="zh-CN"/>
        </w:rPr>
        <w:t>和组员。</w:t>
      </w:r>
      <w:r>
        <w:rPr>
          <w:rFonts w:ascii="宋体" w:hAnsi="宋体" w:eastAsia="宋体" w:cs="宋体"/>
          <w:sz w:val="24"/>
          <w:szCs w:val="24"/>
        </w:rPr>
        <w:t>及时处理应急响应事件，为运维部提供技术支撑，具体如下：</w:t>
      </w:r>
    </w:p>
    <w:p w14:paraId="52733CB4">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根据不同类型的突发事件，制定详细的应急预案，确保事件发生时能够快速反应。</w:t>
      </w:r>
    </w:p>
    <w:p w14:paraId="525C21C3">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ascii="宋体" w:hAnsi="宋体" w:eastAsia="宋体" w:cs="宋体"/>
          <w:sz w:val="24"/>
          <w:szCs w:val="24"/>
        </w:rPr>
        <w:t>定期组织应急演练，提高各部门协作能力和应急反应能力。</w:t>
      </w:r>
    </w:p>
    <w:p w14:paraId="1FD0DA6C">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应急响应事件结束后,组织对应急响应的评估,总结经验,完善应急预案,提供应急管理能力。</w:t>
      </w:r>
    </w:p>
    <w:p w14:paraId="1FF4DDBD">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建立信息收集机制，及时获取突发事件的信息，进行分析和研判，为决策提供依据。</w:t>
      </w:r>
    </w:p>
    <w:p w14:paraId="186D954B">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及时向客户发布信息，消除客户恐慌情绪，增强客户安全意识。</w:t>
      </w:r>
    </w:p>
    <w:sectPr>
      <w:footerReference r:id="rId7" w:type="default"/>
      <w:pgSz w:w="11912" w:h="16841"/>
      <w:pgMar w:top="1385" w:right="1786" w:bottom="1714" w:left="1768" w:header="0" w:footer="144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5A4F2">
    <w:pPr>
      <w:spacing w:before="73" w:line="223" w:lineRule="auto"/>
      <w:ind w:left="4146"/>
      <w:rPr>
        <w:rFonts w:ascii="Times New Roman" w:hAnsi="Times New Roman" w:eastAsia="Times New Roman" w:cs="Times New Roman"/>
        <w:sz w:val="18"/>
        <w:szCs w:val="18"/>
      </w:rPr>
    </w:pPr>
    <w:r>
      <w:pict>
        <v:shape id="_x0000_s4097" o:spid="_x0000_s4097" style="position:absolute;left:0pt;margin-left:88.4pt;margin-top:756.3pt;height:0.5pt;width:417pt;mso-position-horizontal-relative:page;mso-position-vertical-relative:page;z-index:251659264;mso-width-relative:page;mso-height-relative:page;" filled="f" stroked="t" coordsize="8340,10" o:allowincell="f" path="m0,5l8340,5e">
          <v:fill on="f" focussize="0,0"/>
          <v:stroke/>
          <v:imagedata o:title=""/>
          <o:lock v:ext="edit"/>
        </v:shape>
      </w:pict>
    </w: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BBB08">
    <w:pPr>
      <w:spacing w:before="73" w:line="223" w:lineRule="auto"/>
      <w:ind w:left="4211"/>
      <w:rPr>
        <w:rFonts w:ascii="Times New Roman" w:hAnsi="Times New Roman" w:eastAsia="Times New Roman" w:cs="Times New Roman"/>
        <w:sz w:val="18"/>
        <w:szCs w:val="18"/>
      </w:rPr>
    </w:pPr>
    <w:r>
      <w:pict>
        <v:shape id="_x0000_s4098" o:spid="_x0000_s4098" style="position:absolute;left:0pt;margin-left:88.4pt;margin-top:756.3pt;height:0.5pt;width:417pt;mso-position-horizontal-relative:page;mso-position-vertical-relative:page;z-index:251660288;mso-width-relative:page;mso-height-relative:page;" filled="f" stroked="t" coordsize="8340,10" o:allowincell="f" path="m0,5l8340,5e">
          <v:fill on="f" focussize="0,0"/>
          <v:stroke/>
          <v:imagedata o:title=""/>
          <o:lock v:ext="edit"/>
        </v:shape>
      </w:pict>
    </w:r>
    <w:r>
      <w:rPr>
        <w:rFonts w:ascii="Times New Roman" w:hAnsi="Times New Roman" w:eastAsia="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551A6">
    <w:pPr>
      <w:spacing w:before="73" w:line="220" w:lineRule="auto"/>
      <w:ind w:left="4132"/>
      <w:rPr>
        <w:rFonts w:ascii="Times New Roman" w:hAnsi="Times New Roman" w:eastAsia="Times New Roman" w:cs="Times New Roman"/>
        <w:sz w:val="18"/>
        <w:szCs w:val="18"/>
      </w:rPr>
    </w:pPr>
    <w:r>
      <w:pict>
        <v:shape id="_x0000_s4099" o:spid="_x0000_s4099" style="position:absolute;left:0pt;margin-left:88.4pt;margin-top:756.3pt;height:0.5pt;width:417pt;mso-position-horizontal-relative:page;mso-position-vertical-relative:page;z-index:251661312;mso-width-relative:page;mso-height-relative:page;" filled="f" stroked="t" coordsize="8340,10" o:allowincell="f" path="m0,5l8340,5e">
          <v:fill on="f" focussize="0,0"/>
          <v:stroke/>
          <v:imagedata o:title=""/>
          <o:lock v:ext="edit"/>
        </v:shape>
      </w:pict>
    </w:r>
    <w:r>
      <w:rPr>
        <w:rFonts w:ascii="Times New Roman" w:hAnsi="Times New Roman" w:eastAsia="Times New Roman" w:cs="Times New Roman"/>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EDABC0C"/>
    <w:multiLevelType w:val="singleLevel"/>
    <w:tmpl w:val="BEDABC0C"/>
    <w:lvl w:ilvl="0" w:tentative="0">
      <w:start w:val="1"/>
      <w:numFmt w:val="decimal"/>
      <w:lvlText w:val="%1."/>
      <w:lvlJc w:val="left"/>
      <w:pPr>
        <w:ind w:left="425" w:hanging="425"/>
      </w:pPr>
      <w:rPr>
        <w:rFonts w:hint="default"/>
      </w:rPr>
    </w:lvl>
  </w:abstractNum>
  <w:abstractNum w:abstractNumId="2">
    <w:nsid w:val="ECB165DC"/>
    <w:multiLevelType w:val="singleLevel"/>
    <w:tmpl w:val="ECB165DC"/>
    <w:lvl w:ilvl="0" w:tentative="0">
      <w:start w:val="1"/>
      <w:numFmt w:val="decimal"/>
      <w:lvlText w:val="%1."/>
      <w:lvlJc w:val="left"/>
      <w:pPr>
        <w:ind w:left="425" w:hanging="425"/>
      </w:pPr>
      <w:rPr>
        <w:rFonts w:hint="default"/>
      </w:rPr>
    </w:lvl>
  </w:abstractNum>
  <w:abstractNum w:abstractNumId="3">
    <w:nsid w:val="F2541ECA"/>
    <w:multiLevelType w:val="singleLevel"/>
    <w:tmpl w:val="F2541ECA"/>
    <w:lvl w:ilvl="0" w:tentative="0">
      <w:start w:val="1"/>
      <w:numFmt w:val="decimal"/>
      <w:lvlText w:val="%1."/>
      <w:lvlJc w:val="left"/>
      <w:pPr>
        <w:ind w:left="425" w:hanging="425"/>
      </w:pPr>
      <w:rPr>
        <w:rFonts w:hint="default"/>
      </w:rPr>
    </w:lvl>
  </w:abstractNum>
  <w:abstractNum w:abstractNumId="4">
    <w:nsid w:val="22650AA1"/>
    <w:multiLevelType w:val="singleLevel"/>
    <w:tmpl w:val="22650AA1"/>
    <w:lvl w:ilvl="0" w:tentative="0">
      <w:start w:val="1"/>
      <w:numFmt w:val="decimal"/>
      <w:lvlText w:val="%1."/>
      <w:lvlJc w:val="left"/>
      <w:pPr>
        <w:ind w:left="425" w:hanging="425"/>
      </w:pPr>
      <w:rPr>
        <w:rFonts w:hint="default"/>
      </w:rPr>
    </w:lvl>
  </w:abstractNum>
  <w:abstractNum w:abstractNumId="5">
    <w:nsid w:val="23B67A83"/>
    <w:multiLevelType w:val="singleLevel"/>
    <w:tmpl w:val="23B67A83"/>
    <w:lvl w:ilvl="0" w:tentative="0">
      <w:start w:val="1"/>
      <w:numFmt w:val="decimal"/>
      <w:lvlText w:val="%1."/>
      <w:lvlJc w:val="left"/>
      <w:pPr>
        <w:ind w:left="425" w:hanging="425"/>
      </w:pPr>
      <w:rPr>
        <w:rFonts w:hint="default"/>
      </w:rPr>
    </w:lvl>
  </w:abstractNum>
  <w:abstractNum w:abstractNumId="6">
    <w:nsid w:val="2863E8C0"/>
    <w:multiLevelType w:val="singleLevel"/>
    <w:tmpl w:val="2863E8C0"/>
    <w:lvl w:ilvl="0" w:tentative="0">
      <w:start w:val="1"/>
      <w:numFmt w:val="decimal"/>
      <w:lvlText w:val="%1."/>
      <w:lvlJc w:val="left"/>
      <w:pPr>
        <w:ind w:left="425" w:hanging="425"/>
      </w:pPr>
      <w:rPr>
        <w:rFonts w:hint="default"/>
      </w:rPr>
    </w:lvl>
  </w:abstractNum>
  <w:abstractNum w:abstractNumId="7">
    <w:nsid w:val="2AC29474"/>
    <w:multiLevelType w:val="singleLevel"/>
    <w:tmpl w:val="2AC29474"/>
    <w:lvl w:ilvl="0" w:tentative="0">
      <w:start w:val="1"/>
      <w:numFmt w:val="decimal"/>
      <w:lvlText w:val="%1."/>
      <w:lvlJc w:val="left"/>
      <w:pPr>
        <w:ind w:left="425" w:hanging="425"/>
      </w:pPr>
      <w:rPr>
        <w:rFonts w:hint="default"/>
      </w:rPr>
    </w:lvl>
  </w:abstractNum>
  <w:abstractNum w:abstractNumId="8">
    <w:nsid w:val="308EA70A"/>
    <w:multiLevelType w:val="singleLevel"/>
    <w:tmpl w:val="308EA70A"/>
    <w:lvl w:ilvl="0" w:tentative="0">
      <w:start w:val="1"/>
      <w:numFmt w:val="decimal"/>
      <w:lvlText w:val="%1."/>
      <w:lvlJc w:val="left"/>
      <w:pPr>
        <w:ind w:left="425" w:hanging="425"/>
      </w:pPr>
      <w:rPr>
        <w:rFonts w:hint="default"/>
      </w:rPr>
    </w:lvl>
  </w:abstractNum>
  <w:abstractNum w:abstractNumId="9">
    <w:nsid w:val="46920CF0"/>
    <w:multiLevelType w:val="singleLevel"/>
    <w:tmpl w:val="46920CF0"/>
    <w:lvl w:ilvl="0" w:tentative="0">
      <w:start w:val="1"/>
      <w:numFmt w:val="decimal"/>
      <w:lvlText w:val="%1."/>
      <w:lvlJc w:val="left"/>
      <w:pPr>
        <w:ind w:left="425" w:hanging="425"/>
      </w:pPr>
      <w:rPr>
        <w:rFonts w:hint="default"/>
      </w:rPr>
    </w:lvl>
  </w:abstractNum>
  <w:abstractNum w:abstractNumId="10">
    <w:nsid w:val="540DD02E"/>
    <w:multiLevelType w:val="singleLevel"/>
    <w:tmpl w:val="540DD02E"/>
    <w:lvl w:ilvl="0" w:tentative="0">
      <w:start w:val="1"/>
      <w:numFmt w:val="decimal"/>
      <w:lvlText w:val="%1."/>
      <w:lvlJc w:val="left"/>
      <w:pPr>
        <w:ind w:left="425" w:hanging="425"/>
      </w:pPr>
      <w:rPr>
        <w:rFonts w:hint="default"/>
      </w:rPr>
    </w:lvl>
  </w:abstractNum>
  <w:abstractNum w:abstractNumId="11">
    <w:nsid w:val="60ADC81D"/>
    <w:multiLevelType w:val="singleLevel"/>
    <w:tmpl w:val="60ADC81D"/>
    <w:lvl w:ilvl="0" w:tentative="0">
      <w:start w:val="1"/>
      <w:numFmt w:val="decimal"/>
      <w:lvlText w:val="%1."/>
      <w:lvlJc w:val="left"/>
      <w:pPr>
        <w:ind w:left="425" w:hanging="425"/>
      </w:pPr>
      <w:rPr>
        <w:rFonts w:hint="default"/>
      </w:rPr>
    </w:lvl>
  </w:abstractNum>
  <w:num w:numId="1">
    <w:abstractNumId w:val="0"/>
  </w:num>
  <w:num w:numId="2">
    <w:abstractNumId w:val="9"/>
  </w:num>
  <w:num w:numId="3">
    <w:abstractNumId w:val="7"/>
  </w:num>
  <w:num w:numId="4">
    <w:abstractNumId w:val="11"/>
  </w:num>
  <w:num w:numId="5">
    <w:abstractNumId w:val="5"/>
  </w:num>
  <w:num w:numId="6">
    <w:abstractNumId w:val="10"/>
  </w:num>
  <w:num w:numId="7">
    <w:abstractNumId w:val="4"/>
  </w:num>
  <w:num w:numId="8">
    <w:abstractNumId w:val="8"/>
  </w:num>
  <w:num w:numId="9">
    <w:abstractNumId w:val="3"/>
  </w:num>
  <w:num w:numId="10">
    <w:abstractNumId w:val="6"/>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7D754F"/>
    <w:rsid w:val="17505471"/>
    <w:rsid w:val="227D5CD7"/>
    <w:rsid w:val="4F031BDA"/>
    <w:rsid w:val="71821FBE"/>
    <w:rsid w:val="7FEB67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4318</Words>
  <Characters>4404</Characters>
  <Lines>0</Lines>
  <Paragraphs>0</Paragraphs>
  <TotalTime>0</TotalTime>
  <ScaleCrop>false</ScaleCrop>
  <LinksUpToDate>false</LinksUpToDate>
  <CharactersWithSpaces>4470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2025-08-17T23:17:00Z</dcterms:created>
  <dc:creator>admin</dc:creator>
  <cp:lastModifiedBy>郝宇</cp:lastModifiedBy>
  <dcterms:modified xsi:type="dcterms:W3CDTF">2026-02-27T07:24:22Z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2025-08-17T23:26:43Z</vt:filetime>
  </property>
  <property fmtid="{D5CDD505-2E9C-101B-9397-08002B2CF9AE}" pid="3" name="CRO">
    <vt:lpwstr>wqlLaW5nc29mdCBQREYgdG8gV1BTIDExNQ</vt:lpwstr>
  </property>
  <property fmtid="{D5CDD505-2E9C-101B-9397-08002B2CF9AE}" pid="4" name="ICV">
    <vt:lpwstr>A97094D35EC745A798B0B15DB1AC0F0E_12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