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05AC32">
      <w:pPr>
        <w:pStyle w:val="31"/>
        <w:bidi w:val="0"/>
      </w:pPr>
    </w:p>
    <w:p w14:paraId="2D37EB85">
      <w:pPr>
        <w:pStyle w:val="31"/>
        <w:bidi w:val="0"/>
      </w:pPr>
      <w:bookmarkStart w:id="0" w:name="_Toc20032"/>
      <w:r>
        <w:t>管理评审报告</w:t>
      </w:r>
      <w:bookmarkEnd w:id="0"/>
    </w:p>
    <w:p w14:paraId="42A59192">
      <w:pPr>
        <w:pStyle w:val="32"/>
        <w:bidi w:val="0"/>
      </w:pPr>
      <w:bookmarkStart w:id="1" w:name="_Toc26802"/>
      <w:r>
        <w:t>中达丰集团有限公司</w:t>
      </w:r>
      <w:bookmarkEnd w:id="1"/>
    </w:p>
    <w:p w14:paraId="73882953">
      <w:pPr>
        <w:spacing w:before="117" w:line="219" w:lineRule="auto"/>
        <w:ind w:left="0" w:leftChars="0" w:right="0" w:rightChars="0" w:firstLine="0" w:firstLineChars="0"/>
        <w:jc w:val="center"/>
        <w:rPr>
          <w:rFonts w:hint="default" w:ascii="宋体" w:hAnsi="宋体" w:eastAsia="宋体" w:cs="宋体"/>
          <w:spacing w:val="-1"/>
          <w:sz w:val="36"/>
          <w:szCs w:val="36"/>
          <w:lang w:val="en-US" w:eastAsia="zh-CN"/>
        </w:rPr>
      </w:pPr>
      <w:r>
        <w:rPr>
          <w:rFonts w:hint="eastAsia" w:ascii="宋体" w:hAnsi="宋体" w:eastAsia="宋体" w:cs="宋体"/>
          <w:spacing w:val="-1"/>
          <w:sz w:val="36"/>
          <w:szCs w:val="36"/>
          <w:lang w:val="en-US" w:eastAsia="zh-CN"/>
        </w:rPr>
        <w:t>2025年1</w:t>
      </w:r>
      <w:r>
        <w:rPr>
          <w:rFonts w:hint="eastAsia" w:ascii="宋体" w:hAnsi="宋体" w:cs="宋体"/>
          <w:spacing w:val="-1"/>
          <w:sz w:val="36"/>
          <w:szCs w:val="36"/>
          <w:lang w:val="en-US" w:eastAsia="zh-CN"/>
        </w:rPr>
        <w:t>2</w:t>
      </w:r>
      <w:r>
        <w:rPr>
          <w:rFonts w:hint="eastAsia" w:ascii="宋体" w:hAnsi="宋体" w:eastAsia="宋体" w:cs="宋体"/>
          <w:spacing w:val="-1"/>
          <w:sz w:val="36"/>
          <w:szCs w:val="36"/>
          <w:lang w:val="en-US" w:eastAsia="zh-CN"/>
        </w:rPr>
        <w:t>月2</w:t>
      </w:r>
      <w:r>
        <w:rPr>
          <w:rFonts w:hint="eastAsia" w:ascii="宋体" w:hAnsi="宋体" w:cs="宋体"/>
          <w:spacing w:val="-1"/>
          <w:sz w:val="36"/>
          <w:szCs w:val="36"/>
          <w:lang w:val="en-US" w:eastAsia="zh-CN"/>
        </w:rPr>
        <w:t>0</w:t>
      </w:r>
      <w:r>
        <w:rPr>
          <w:rFonts w:hint="eastAsia" w:ascii="宋体" w:hAnsi="宋体" w:eastAsia="宋体" w:cs="宋体"/>
          <w:spacing w:val="-1"/>
          <w:sz w:val="36"/>
          <w:szCs w:val="36"/>
          <w:lang w:val="en-US" w:eastAsia="zh-CN"/>
        </w:rPr>
        <w:t>日</w:t>
      </w:r>
    </w:p>
    <w:p w14:paraId="4A402FE4">
      <w:pPr>
        <w:spacing w:line="219" w:lineRule="auto"/>
        <w:rPr>
          <w:rFonts w:ascii="宋体" w:hAnsi="宋体" w:eastAsia="宋体" w:cs="宋体"/>
          <w:sz w:val="36"/>
          <w:szCs w:val="36"/>
        </w:rPr>
        <w:sectPr>
          <w:headerReference r:id="rId5" w:type="default"/>
          <w:footerReference r:id="rId6" w:type="default"/>
          <w:pgSz w:w="11906" w:h="16839"/>
          <w:pgMar w:top="1105" w:right="1151" w:bottom="1360" w:left="1672" w:header="1090" w:footer="1344" w:gutter="0"/>
          <w:cols w:space="720" w:num="1"/>
        </w:sectPr>
      </w:pPr>
    </w:p>
    <w:p w14:paraId="024E3FE5">
      <w:pPr>
        <w:spacing w:before="91" w:line="220" w:lineRule="auto"/>
        <w:ind w:left="3811"/>
        <w:outlineLvl w:val="0"/>
        <w:rPr>
          <w:rFonts w:ascii="宋体" w:hAnsi="宋体" w:eastAsia="宋体" w:cs="宋体"/>
          <w:sz w:val="28"/>
          <w:szCs w:val="28"/>
        </w:rPr>
      </w:pPr>
      <w:bookmarkStart w:id="2" w:name="_Toc22205"/>
      <w:r>
        <w:rPr>
          <w:rFonts w:ascii="宋体" w:hAnsi="宋体" w:eastAsia="宋体" w:cs="宋体"/>
          <w:spacing w:val="-3"/>
          <w:sz w:val="28"/>
          <w:szCs w:val="28"/>
        </w:rPr>
        <w:t>文档信息</w:t>
      </w:r>
      <w:bookmarkEnd w:id="2"/>
    </w:p>
    <w:tbl>
      <w:tblPr>
        <w:tblStyle w:val="24"/>
        <w:tblW w:w="9150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64"/>
        <w:gridCol w:w="1697"/>
        <w:gridCol w:w="2342"/>
        <w:gridCol w:w="1983"/>
        <w:gridCol w:w="1564"/>
      </w:tblGrid>
      <w:tr w14:paraId="47DBB23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1" w:hRule="atLeast"/>
          <w:jc w:val="center"/>
        </w:trPr>
        <w:tc>
          <w:tcPr>
            <w:tcW w:w="1564" w:type="dxa"/>
            <w:vAlign w:val="center"/>
          </w:tcPr>
          <w:p w14:paraId="04E65678">
            <w:pPr>
              <w:pStyle w:val="25"/>
              <w:spacing w:before="125" w:line="325" w:lineRule="auto"/>
              <w:ind w:right="251"/>
            </w:pPr>
            <w:r>
              <w:rPr>
                <w:spacing w:val="-3"/>
              </w:rPr>
              <w:t>文档名称编</w:t>
            </w:r>
            <w:r>
              <w:t>号</w:t>
            </w:r>
          </w:p>
        </w:tc>
        <w:tc>
          <w:tcPr>
            <w:tcW w:w="7586" w:type="dxa"/>
            <w:gridSpan w:val="4"/>
            <w:vAlign w:val="center"/>
          </w:tcPr>
          <w:p w14:paraId="04EA6355">
            <w:pPr>
              <w:pStyle w:val="25"/>
              <w:spacing w:before="78" w:line="218" w:lineRule="auto"/>
              <w:ind w:left="115"/>
            </w:pPr>
            <w:r>
              <w:rPr>
                <w:spacing w:val="-1"/>
              </w:rPr>
              <w:t>管理评审报告（ZDFJT-ITSS-GLPSBG）</w:t>
            </w:r>
          </w:p>
        </w:tc>
      </w:tr>
      <w:tr w14:paraId="65DEDCF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  <w:jc w:val="center"/>
        </w:trPr>
        <w:tc>
          <w:tcPr>
            <w:tcW w:w="1564" w:type="dxa"/>
            <w:vAlign w:val="center"/>
          </w:tcPr>
          <w:p w14:paraId="57B5FC64">
            <w:pPr>
              <w:pStyle w:val="25"/>
              <w:spacing w:before="182" w:line="220" w:lineRule="auto"/>
              <w:ind w:left="114"/>
            </w:pPr>
            <w:r>
              <w:rPr>
                <w:spacing w:val="-3"/>
              </w:rPr>
              <w:t>编制单位</w:t>
            </w:r>
          </w:p>
        </w:tc>
        <w:tc>
          <w:tcPr>
            <w:tcW w:w="7586" w:type="dxa"/>
            <w:gridSpan w:val="4"/>
            <w:vAlign w:val="center"/>
          </w:tcPr>
          <w:p w14:paraId="4F6DB65F">
            <w:pPr>
              <w:pStyle w:val="25"/>
              <w:spacing w:before="182" w:line="219" w:lineRule="auto"/>
              <w:ind w:left="109"/>
            </w:pPr>
            <w:r>
              <w:rPr>
                <w:spacing w:val="-1"/>
              </w:rPr>
              <w:t>中达丰集团有限公司</w:t>
            </w:r>
          </w:p>
        </w:tc>
      </w:tr>
      <w:tr w14:paraId="35AA240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  <w:jc w:val="center"/>
        </w:trPr>
        <w:tc>
          <w:tcPr>
            <w:tcW w:w="1564" w:type="dxa"/>
            <w:vAlign w:val="center"/>
          </w:tcPr>
          <w:p w14:paraId="1BC7E7C4">
            <w:pPr>
              <w:pStyle w:val="25"/>
              <w:spacing w:before="184" w:line="220" w:lineRule="auto"/>
              <w:ind w:left="114"/>
            </w:pPr>
            <w:r>
              <w:rPr>
                <w:spacing w:val="-3"/>
              </w:rPr>
              <w:t>文档密级</w:t>
            </w:r>
          </w:p>
        </w:tc>
        <w:tc>
          <w:tcPr>
            <w:tcW w:w="7586" w:type="dxa"/>
            <w:gridSpan w:val="4"/>
            <w:vAlign w:val="center"/>
          </w:tcPr>
          <w:p w14:paraId="741B3299">
            <w:pPr>
              <w:pStyle w:val="25"/>
              <w:spacing w:before="184" w:line="220" w:lineRule="auto"/>
              <w:ind w:left="108"/>
            </w:pPr>
            <w:r>
              <w:rPr>
                <w:spacing w:val="-3"/>
              </w:rPr>
              <w:t>秘密</w:t>
            </w:r>
          </w:p>
        </w:tc>
      </w:tr>
      <w:tr w14:paraId="1C37FFF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  <w:jc w:val="center"/>
        </w:trPr>
        <w:tc>
          <w:tcPr>
            <w:tcW w:w="1564" w:type="dxa"/>
            <w:vAlign w:val="center"/>
          </w:tcPr>
          <w:p w14:paraId="3BE3C64D">
            <w:pPr>
              <w:pStyle w:val="25"/>
              <w:spacing w:before="186" w:line="219" w:lineRule="auto"/>
              <w:ind w:left="306"/>
            </w:pPr>
            <w:r>
              <w:rPr>
                <w:spacing w:val="-3"/>
              </w:rPr>
              <w:t>文档版本</w:t>
            </w:r>
          </w:p>
        </w:tc>
        <w:tc>
          <w:tcPr>
            <w:tcW w:w="1697" w:type="dxa"/>
            <w:vAlign w:val="center"/>
          </w:tcPr>
          <w:p w14:paraId="6B5B716B">
            <w:pPr>
              <w:pStyle w:val="25"/>
              <w:spacing w:before="186" w:line="219" w:lineRule="auto"/>
              <w:ind w:left="371"/>
            </w:pPr>
            <w:r>
              <w:rPr>
                <w:spacing w:val="-2"/>
              </w:rPr>
              <w:t>版本日期</w:t>
            </w:r>
          </w:p>
        </w:tc>
        <w:tc>
          <w:tcPr>
            <w:tcW w:w="2342" w:type="dxa"/>
            <w:vAlign w:val="center"/>
          </w:tcPr>
          <w:p w14:paraId="157892BB">
            <w:pPr>
              <w:pStyle w:val="25"/>
              <w:spacing w:before="186" w:line="219" w:lineRule="auto"/>
              <w:ind w:left="696"/>
            </w:pPr>
            <w:r>
              <w:rPr>
                <w:spacing w:val="-2"/>
              </w:rPr>
              <w:t>版本说明</w:t>
            </w:r>
          </w:p>
        </w:tc>
        <w:tc>
          <w:tcPr>
            <w:tcW w:w="1983" w:type="dxa"/>
            <w:vAlign w:val="center"/>
          </w:tcPr>
          <w:p w14:paraId="0ABEE55C">
            <w:pPr>
              <w:pStyle w:val="25"/>
              <w:spacing w:before="187" w:line="220" w:lineRule="auto"/>
              <w:ind w:left="758"/>
            </w:pPr>
            <w:r>
              <w:rPr>
                <w:spacing w:val="-3"/>
              </w:rPr>
              <w:t>作者</w:t>
            </w:r>
          </w:p>
        </w:tc>
        <w:tc>
          <w:tcPr>
            <w:tcW w:w="1564" w:type="dxa"/>
            <w:vAlign w:val="center"/>
          </w:tcPr>
          <w:p w14:paraId="6618668F">
            <w:pPr>
              <w:pStyle w:val="25"/>
              <w:spacing w:before="187" w:line="220" w:lineRule="auto"/>
              <w:ind w:left="560"/>
            </w:pPr>
            <w:r>
              <w:rPr>
                <w:spacing w:val="-6"/>
              </w:rPr>
              <w:t>审核</w:t>
            </w:r>
          </w:p>
        </w:tc>
      </w:tr>
      <w:tr w14:paraId="116F893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8" w:hRule="atLeast"/>
          <w:jc w:val="center"/>
        </w:trPr>
        <w:tc>
          <w:tcPr>
            <w:tcW w:w="1564" w:type="dxa"/>
            <w:vAlign w:val="center"/>
          </w:tcPr>
          <w:p w14:paraId="7DFC41B4">
            <w:pPr>
              <w:pStyle w:val="25"/>
              <w:spacing w:before="162" w:line="239" w:lineRule="auto"/>
              <w:ind w:left="539"/>
            </w:pPr>
            <w:r>
              <w:rPr>
                <w:spacing w:val="-1"/>
              </w:rPr>
              <w:t>V1.0</w:t>
            </w:r>
          </w:p>
        </w:tc>
        <w:tc>
          <w:tcPr>
            <w:tcW w:w="1697" w:type="dxa"/>
            <w:vAlign w:val="center"/>
          </w:tcPr>
          <w:p w14:paraId="736BFA3F">
            <w:pPr>
              <w:pStyle w:val="25"/>
              <w:spacing w:before="162"/>
              <w:ind w:left="313"/>
              <w:rPr>
                <w:rFonts w:hint="default" w:eastAsia="宋体"/>
                <w:lang w:val="en-US" w:eastAsia="zh-CN"/>
              </w:rPr>
            </w:pPr>
            <w:r>
              <w:rPr>
                <w:spacing w:val="-2"/>
              </w:rPr>
              <w:t>2025-</w:t>
            </w:r>
            <w:r>
              <w:rPr>
                <w:rFonts w:hint="eastAsia"/>
                <w:spacing w:val="-2"/>
                <w:lang w:val="en-US" w:eastAsia="zh-CN"/>
              </w:rPr>
              <w:t>12</w:t>
            </w:r>
            <w:r>
              <w:rPr>
                <w:spacing w:val="-2"/>
              </w:rPr>
              <w:t>-</w:t>
            </w:r>
            <w:r>
              <w:rPr>
                <w:rFonts w:hint="eastAsia"/>
                <w:spacing w:val="-2"/>
                <w:lang w:val="en-US" w:eastAsia="zh-CN"/>
              </w:rPr>
              <w:t>20</w:t>
            </w:r>
          </w:p>
        </w:tc>
        <w:tc>
          <w:tcPr>
            <w:tcW w:w="2342" w:type="dxa"/>
            <w:vAlign w:val="center"/>
          </w:tcPr>
          <w:p w14:paraId="0936AA83">
            <w:pPr>
              <w:pStyle w:val="25"/>
              <w:spacing w:before="128" w:line="219" w:lineRule="auto"/>
              <w:ind w:left="699"/>
            </w:pPr>
            <w:r>
              <w:rPr>
                <w:spacing w:val="-3"/>
              </w:rPr>
              <w:t>发布版本</w:t>
            </w:r>
          </w:p>
        </w:tc>
        <w:tc>
          <w:tcPr>
            <w:tcW w:w="1983" w:type="dxa"/>
            <w:vAlign w:val="center"/>
          </w:tcPr>
          <w:p w14:paraId="4588B566">
            <w:pPr>
              <w:pStyle w:val="25"/>
              <w:spacing w:before="128" w:line="220" w:lineRule="auto"/>
              <w:ind w:left="639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李平</w:t>
            </w:r>
          </w:p>
        </w:tc>
        <w:tc>
          <w:tcPr>
            <w:tcW w:w="1564" w:type="dxa"/>
            <w:vAlign w:val="center"/>
          </w:tcPr>
          <w:p w14:paraId="56DE9CC3">
            <w:pPr>
              <w:pStyle w:val="25"/>
              <w:spacing w:before="128" w:line="220" w:lineRule="auto"/>
              <w:ind w:left="433"/>
            </w:pPr>
            <w:r>
              <w:rPr>
                <w:spacing w:val="-4"/>
              </w:rPr>
              <w:t>吴向阳</w:t>
            </w:r>
          </w:p>
        </w:tc>
      </w:tr>
      <w:tr w14:paraId="28670B0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8" w:hRule="atLeast"/>
          <w:jc w:val="center"/>
        </w:trPr>
        <w:tc>
          <w:tcPr>
            <w:tcW w:w="1564" w:type="dxa"/>
          </w:tcPr>
          <w:p w14:paraId="45BD5B46">
            <w:pPr>
              <w:rPr>
                <w:rFonts w:ascii="Arial"/>
                <w:sz w:val="21"/>
              </w:rPr>
            </w:pPr>
          </w:p>
        </w:tc>
        <w:tc>
          <w:tcPr>
            <w:tcW w:w="1697" w:type="dxa"/>
          </w:tcPr>
          <w:p w14:paraId="5C2B6C05">
            <w:pPr>
              <w:rPr>
                <w:rFonts w:ascii="Arial"/>
                <w:sz w:val="21"/>
              </w:rPr>
            </w:pPr>
          </w:p>
        </w:tc>
        <w:tc>
          <w:tcPr>
            <w:tcW w:w="2342" w:type="dxa"/>
          </w:tcPr>
          <w:p w14:paraId="3842DEFB">
            <w:pPr>
              <w:rPr>
                <w:rFonts w:ascii="Arial"/>
                <w:sz w:val="21"/>
              </w:rPr>
            </w:pPr>
          </w:p>
        </w:tc>
        <w:tc>
          <w:tcPr>
            <w:tcW w:w="1983" w:type="dxa"/>
          </w:tcPr>
          <w:p w14:paraId="069DBD32">
            <w:pPr>
              <w:rPr>
                <w:rFonts w:ascii="Arial"/>
                <w:sz w:val="21"/>
              </w:rPr>
            </w:pPr>
          </w:p>
        </w:tc>
        <w:tc>
          <w:tcPr>
            <w:tcW w:w="1564" w:type="dxa"/>
          </w:tcPr>
          <w:p w14:paraId="5FC5B877">
            <w:pPr>
              <w:rPr>
                <w:rFonts w:ascii="Arial"/>
                <w:sz w:val="21"/>
              </w:rPr>
            </w:pPr>
          </w:p>
        </w:tc>
      </w:tr>
      <w:tr w14:paraId="06C03C2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9" w:hRule="atLeast"/>
          <w:jc w:val="center"/>
        </w:trPr>
        <w:tc>
          <w:tcPr>
            <w:tcW w:w="1564" w:type="dxa"/>
          </w:tcPr>
          <w:p w14:paraId="30F04D90">
            <w:pPr>
              <w:rPr>
                <w:rFonts w:ascii="Arial"/>
                <w:sz w:val="21"/>
              </w:rPr>
            </w:pPr>
          </w:p>
        </w:tc>
        <w:tc>
          <w:tcPr>
            <w:tcW w:w="1697" w:type="dxa"/>
          </w:tcPr>
          <w:p w14:paraId="133ED06E">
            <w:pPr>
              <w:rPr>
                <w:rFonts w:ascii="Arial"/>
                <w:sz w:val="21"/>
              </w:rPr>
            </w:pPr>
          </w:p>
        </w:tc>
        <w:tc>
          <w:tcPr>
            <w:tcW w:w="2342" w:type="dxa"/>
          </w:tcPr>
          <w:p w14:paraId="1C828FB7">
            <w:pPr>
              <w:rPr>
                <w:rFonts w:ascii="Arial"/>
                <w:sz w:val="21"/>
              </w:rPr>
            </w:pPr>
          </w:p>
        </w:tc>
        <w:tc>
          <w:tcPr>
            <w:tcW w:w="1983" w:type="dxa"/>
          </w:tcPr>
          <w:p w14:paraId="716D471C">
            <w:pPr>
              <w:rPr>
                <w:rFonts w:ascii="Arial"/>
                <w:sz w:val="21"/>
              </w:rPr>
            </w:pPr>
          </w:p>
        </w:tc>
        <w:tc>
          <w:tcPr>
            <w:tcW w:w="1564" w:type="dxa"/>
          </w:tcPr>
          <w:p w14:paraId="1432EA54">
            <w:pPr>
              <w:rPr>
                <w:rFonts w:ascii="Arial"/>
                <w:sz w:val="21"/>
              </w:rPr>
            </w:pPr>
          </w:p>
        </w:tc>
      </w:tr>
    </w:tbl>
    <w:p w14:paraId="400CCC83">
      <w:pPr>
        <w:pStyle w:val="12"/>
      </w:pPr>
    </w:p>
    <w:p w14:paraId="1F400D1F">
      <w:pPr>
        <w:sectPr>
          <w:headerReference r:id="rId7" w:type="default"/>
          <w:footerReference r:id="rId8" w:type="default"/>
          <w:pgSz w:w="11906" w:h="16839"/>
          <w:pgMar w:top="400" w:right="1150" w:bottom="1233" w:left="1595" w:header="0" w:footer="1070" w:gutter="0"/>
          <w:cols w:space="720" w:num="1"/>
        </w:sectPr>
      </w:pP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58891"/>
        <w:docPartObj>
          <w:docPartGallery w:val="Table of Contents"/>
          <w:docPartUnique/>
        </w:docPartObj>
      </w:sdtPr>
      <w:sdtEndPr>
        <w:rPr>
          <w:rFonts w:hint="eastAsia" w:ascii="Microsoft JhengHei" w:hAnsi="Microsoft JhengHei" w:eastAsia="Microsoft JhengHei" w:cs="Microsoft JhengHei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3C171B37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5562BEA1">
          <w:pPr>
            <w:pStyle w:val="16"/>
            <w:tabs>
              <w:tab w:val="right" w:leader="dot" w:pos="8487"/>
            </w:tabs>
          </w:pP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instrText xml:space="preserve">TOC \o "1-3" \h \u </w:instrText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fldChar w:fldCharType="separate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_Toc20032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t>管理评审报告</w:t>
          </w:r>
          <w:r>
            <w:tab/>
          </w:r>
          <w:r>
            <w:fldChar w:fldCharType="begin"/>
          </w:r>
          <w:r>
            <w:instrText xml:space="preserve"> PAGEREF _Toc20032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518ADF86">
          <w:pPr>
            <w:pStyle w:val="16"/>
            <w:tabs>
              <w:tab w:val="right" w:leader="dot" w:pos="8487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_Toc26802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t>中达丰集团有限公司</w:t>
          </w:r>
          <w:r>
            <w:tab/>
          </w:r>
          <w:r>
            <w:fldChar w:fldCharType="begin"/>
          </w:r>
          <w:r>
            <w:instrText xml:space="preserve"> PAGEREF _Toc26802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69FE74BC">
          <w:pPr>
            <w:pStyle w:val="16"/>
            <w:tabs>
              <w:tab w:val="right" w:leader="dot" w:pos="8487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_Toc22205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ascii="宋体" w:hAnsi="宋体" w:eastAsia="宋体" w:cs="宋体"/>
              <w:spacing w:val="-3"/>
              <w:szCs w:val="28"/>
            </w:rPr>
            <w:t>文档信息</w:t>
          </w:r>
          <w:r>
            <w:tab/>
          </w:r>
          <w:r>
            <w:fldChar w:fldCharType="begin"/>
          </w:r>
          <w:r>
            <w:instrText xml:space="preserve"> PAGEREF _Toc22205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039F30F7">
          <w:pPr>
            <w:pStyle w:val="16"/>
            <w:tabs>
              <w:tab w:val="right" w:leader="dot" w:pos="8487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_Toc3622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t>审核目的</w:t>
          </w:r>
          <w:r>
            <w:tab/>
          </w:r>
          <w:r>
            <w:fldChar w:fldCharType="begin"/>
          </w:r>
          <w:r>
            <w:instrText xml:space="preserve"> PAGEREF _Toc3622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61DAE27B">
          <w:pPr>
            <w:pStyle w:val="16"/>
            <w:tabs>
              <w:tab w:val="right" w:leader="dot" w:pos="8487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_Toc30275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</w:rPr>
            <w:t xml:space="preserve">2. </w:t>
          </w:r>
          <w:r>
            <w:t>审核依据</w:t>
          </w:r>
          <w:r>
            <w:tab/>
          </w:r>
          <w:r>
            <w:fldChar w:fldCharType="begin"/>
          </w:r>
          <w:r>
            <w:instrText xml:space="preserve"> PAGEREF _Toc30275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47AAB4FF">
          <w:pPr>
            <w:pStyle w:val="16"/>
            <w:tabs>
              <w:tab w:val="right" w:leader="dot" w:pos="8487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_Toc6674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t>参会人员</w:t>
          </w:r>
          <w:r>
            <w:tab/>
          </w:r>
          <w:r>
            <w:fldChar w:fldCharType="begin"/>
          </w:r>
          <w:r>
            <w:instrText xml:space="preserve"> PAGEREF _Toc6674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3C4286DE">
          <w:pPr>
            <w:pStyle w:val="16"/>
            <w:tabs>
              <w:tab w:val="right" w:leader="dot" w:pos="8487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_Toc17567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</w:rPr>
            <w:t xml:space="preserve">4. </w:t>
          </w:r>
          <w:r>
            <w:t>评审主要步骤</w:t>
          </w:r>
          <w:r>
            <w:tab/>
          </w:r>
          <w:r>
            <w:fldChar w:fldCharType="begin"/>
          </w:r>
          <w:r>
            <w:instrText xml:space="preserve"> PAGEREF _Toc17567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0FAC435C">
          <w:pPr>
            <w:pStyle w:val="16"/>
            <w:tabs>
              <w:tab w:val="right" w:leader="dot" w:pos="8487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_Toc17342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</w:rPr>
            <w:t xml:space="preserve">5. </w:t>
          </w:r>
          <w:r>
            <w:t>评审内容</w:t>
          </w:r>
          <w:r>
            <w:tab/>
          </w:r>
          <w:r>
            <w:fldChar w:fldCharType="begin"/>
          </w:r>
          <w:r>
            <w:instrText xml:space="preserve"> PAGEREF _Toc17342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27C60F78">
          <w:pPr>
            <w:pStyle w:val="16"/>
            <w:tabs>
              <w:tab w:val="right" w:leader="dot" w:pos="8487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_Toc18428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</w:rPr>
            <w:t xml:space="preserve">6. </w:t>
          </w:r>
          <w:r>
            <w:t>评审结论</w:t>
          </w:r>
          <w:r>
            <w:tab/>
          </w:r>
          <w:r>
            <w:fldChar w:fldCharType="begin"/>
          </w:r>
          <w:r>
            <w:instrText xml:space="preserve"> PAGEREF _Toc18428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7C8AE646">
          <w:pPr>
            <w:pStyle w:val="17"/>
            <w:tabs>
              <w:tab w:val="right" w:leader="dot" w:pos="8487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_Toc31903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</w:rPr>
            <w:t xml:space="preserve">6.1. </w:t>
          </w:r>
          <w:r>
            <w:t>运维能力体系运行的适宜性、有效性评审</w:t>
          </w:r>
          <w:r>
            <w:tab/>
          </w:r>
          <w:r>
            <w:fldChar w:fldCharType="begin"/>
          </w:r>
          <w:r>
            <w:instrText xml:space="preserve"> PAGEREF _Toc31903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3B49430C">
          <w:pPr>
            <w:pStyle w:val="17"/>
            <w:tabs>
              <w:tab w:val="right" w:leader="dot" w:pos="8487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_Toc2066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</w:rPr>
            <w:t xml:space="preserve">6.2. </w:t>
          </w:r>
          <w:r>
            <w:t>质量内部审核评审</w:t>
          </w:r>
          <w:r>
            <w:tab/>
          </w:r>
          <w:r>
            <w:fldChar w:fldCharType="begin"/>
          </w:r>
          <w:r>
            <w:instrText xml:space="preserve"> PAGEREF _Toc2066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1D386F24">
          <w:pPr>
            <w:pStyle w:val="17"/>
            <w:tabs>
              <w:tab w:val="right" w:leader="dot" w:pos="8487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_Toc24922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</w:rPr>
            <w:t xml:space="preserve">6.3. </w:t>
          </w:r>
          <w:r>
            <w:t>满意度调查评审</w:t>
          </w:r>
          <w:r>
            <w:tab/>
          </w:r>
          <w:r>
            <w:fldChar w:fldCharType="begin"/>
          </w:r>
          <w:r>
            <w:instrText xml:space="preserve"> PAGEREF _Toc24922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2E7A20C2">
          <w:pPr>
            <w:pStyle w:val="17"/>
            <w:tabs>
              <w:tab w:val="right" w:leader="dot" w:pos="8487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_Toc15245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</w:rPr>
            <w:t xml:space="preserve">6.4. </w:t>
          </w:r>
          <w:r>
            <w:t>客户投诉情况评审</w:t>
          </w:r>
          <w:r>
            <w:tab/>
          </w:r>
          <w:r>
            <w:fldChar w:fldCharType="begin"/>
          </w:r>
          <w:r>
            <w:instrText xml:space="preserve"> PAGEREF _Toc15245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41483B7C">
          <w:pPr>
            <w:pStyle w:val="17"/>
            <w:tabs>
              <w:tab w:val="right" w:leader="dot" w:pos="8487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_Toc12289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</w:rPr>
            <w:t xml:space="preserve">6.5. </w:t>
          </w:r>
          <w:r>
            <w:t>结论</w:t>
          </w:r>
          <w:r>
            <w:tab/>
          </w:r>
          <w:r>
            <w:fldChar w:fldCharType="begin"/>
          </w:r>
          <w:r>
            <w:instrText xml:space="preserve"> PAGEREF _Toc12289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4A4F7647">
          <w:pPr>
            <w:spacing w:line="220" w:lineRule="auto"/>
            <w:rPr>
              <w:rFonts w:hint="eastAsia" w:ascii="Microsoft JhengHei" w:hAnsi="Microsoft JhengHei" w:eastAsia="Microsoft JhengHei" w:cs="Microsoft JhengHei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</w:sdtContent>
    </w:sdt>
    <w:p w14:paraId="220384BB">
      <w:pPr>
        <w:spacing w:line="220" w:lineRule="auto"/>
        <w:rPr>
          <w:rFonts w:hint="eastAsia" w:ascii="Microsoft JhengHei" w:hAnsi="Microsoft JhengHei" w:eastAsia="Microsoft JhengHei" w:cs="Microsoft JhengHei"/>
          <w:snapToGrid w:val="0"/>
          <w:color w:val="000000"/>
          <w:kern w:val="0"/>
          <w:sz w:val="24"/>
          <w:szCs w:val="24"/>
          <w:lang w:val="en-US" w:eastAsia="en-US" w:bidi="ar-SA"/>
        </w:rPr>
        <w:sectPr>
          <w:footerReference r:id="rId9" w:type="default"/>
          <w:pgSz w:w="11906" w:h="16839"/>
          <w:pgMar w:top="1040" w:right="1710" w:bottom="1234" w:left="1709" w:header="0" w:footer="1070" w:gutter="0"/>
          <w:cols w:space="720" w:num="1"/>
        </w:sectPr>
      </w:pPr>
    </w:p>
    <w:p w14:paraId="63189A09">
      <w:pPr>
        <w:pStyle w:val="26"/>
        <w:bidi w:val="0"/>
      </w:pPr>
      <w:bookmarkStart w:id="3" w:name="_Toc3622"/>
      <w:r>
        <w:t>审核目的</w:t>
      </w:r>
      <w:bookmarkEnd w:id="3"/>
    </w:p>
    <w:p w14:paraId="5E676CC3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firstLine="472" w:firstLineChars="200"/>
        <w:textAlignment w:val="baseline"/>
        <w:rPr>
          <w:rFonts w:ascii="宋体" w:hAnsi="宋体" w:eastAsia="宋体" w:cs="宋体"/>
          <w:spacing w:val="-2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对公司运维能力体系运行现状进行评审，评价其持续的适宜性和有效性。</w:t>
      </w:r>
    </w:p>
    <w:p w14:paraId="18FC514D">
      <w:pPr>
        <w:pStyle w:val="26"/>
        <w:bidi w:val="0"/>
      </w:pPr>
      <w:bookmarkStart w:id="4" w:name="_Toc30275"/>
      <w:r>
        <w:t>审核依据</w:t>
      </w:r>
      <w:bookmarkEnd w:id="4"/>
    </w:p>
    <w:p w14:paraId="666D4D2A">
      <w:pPr>
        <w:keepNext w:val="0"/>
        <w:keepLines w:val="0"/>
        <w:pageBreakBefore w:val="0"/>
        <w:widowControl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635" w:leftChars="0" w:hanging="425" w:firstLineChars="0"/>
        <w:textAlignment w:val="baseline"/>
        <w:rPr>
          <w:rFonts w:hint="eastAsia" w:ascii="宋体" w:hAnsi="宋体" w:eastAsia="宋体" w:cs="宋体"/>
          <w:spacing w:val="-1"/>
          <w:sz w:val="24"/>
          <w:szCs w:val="24"/>
        </w:rPr>
      </w:pPr>
      <w:r>
        <w:rPr>
          <w:rFonts w:hint="eastAsia" w:ascii="宋体" w:hAnsi="宋体" w:eastAsia="宋体" w:cs="宋体"/>
          <w:spacing w:val="-1"/>
          <w:sz w:val="24"/>
          <w:szCs w:val="24"/>
        </w:rPr>
        <w:t>T/CESA 1299—2023《信息技术服务 运行维护服务能力成熟度模型》</w:t>
      </w:r>
    </w:p>
    <w:p w14:paraId="493A9759">
      <w:pPr>
        <w:keepNext w:val="0"/>
        <w:keepLines w:val="0"/>
        <w:pageBreakBefore w:val="0"/>
        <w:widowControl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635" w:leftChars="0" w:hanging="425" w:firstLineChars="0"/>
        <w:textAlignment w:val="baseline"/>
        <w:rPr>
          <w:rFonts w:hint="eastAsia" w:ascii="宋体" w:hAnsi="宋体" w:eastAsia="宋体" w:cs="宋体"/>
          <w:spacing w:val="-1"/>
          <w:sz w:val="24"/>
          <w:szCs w:val="24"/>
        </w:rPr>
      </w:pPr>
      <w:r>
        <w:rPr>
          <w:rFonts w:hint="eastAsia" w:ascii="宋体" w:hAnsi="宋体" w:eastAsia="宋体" w:cs="宋体"/>
          <w:spacing w:val="-1"/>
          <w:sz w:val="24"/>
          <w:szCs w:val="24"/>
        </w:rPr>
        <w:t>GB/ T 28827.1-20</w:t>
      </w:r>
      <w:r>
        <w:rPr>
          <w:rFonts w:hint="eastAsia" w:ascii="宋体" w:hAnsi="宋体" w:eastAsia="宋体" w:cs="宋体"/>
          <w:spacing w:val="-1"/>
          <w:sz w:val="24"/>
          <w:szCs w:val="24"/>
          <w:lang w:val="en-US" w:eastAsia="zh-CN"/>
        </w:rPr>
        <w:t>2</w:t>
      </w:r>
      <w:r>
        <w:rPr>
          <w:rFonts w:hint="eastAsia" w:ascii="宋体" w:hAnsi="宋体" w:eastAsia="宋体" w:cs="宋体"/>
          <w:spacing w:val="-1"/>
          <w:sz w:val="24"/>
          <w:szCs w:val="24"/>
        </w:rPr>
        <w:t>2《信息技术服务 运行维护 第 1 部分：通用要求》</w:t>
      </w:r>
    </w:p>
    <w:p w14:paraId="656C9C0D">
      <w:pPr>
        <w:keepNext w:val="0"/>
        <w:keepLines w:val="0"/>
        <w:pageBreakBefore w:val="0"/>
        <w:widowControl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635" w:leftChars="0" w:hanging="425" w:firstLineChars="0"/>
        <w:textAlignment w:val="baseline"/>
        <w:rPr>
          <w:rFonts w:hint="eastAsia" w:ascii="宋体" w:hAnsi="宋体" w:eastAsia="宋体" w:cs="宋体"/>
          <w:spacing w:val="-1"/>
          <w:sz w:val="24"/>
          <w:szCs w:val="24"/>
        </w:rPr>
      </w:pPr>
      <w:r>
        <w:rPr>
          <w:rFonts w:hint="eastAsia" w:ascii="宋体" w:hAnsi="宋体" w:eastAsia="宋体" w:cs="宋体"/>
          <w:spacing w:val="-1"/>
          <w:sz w:val="24"/>
          <w:szCs w:val="24"/>
        </w:rPr>
        <w:t>GB/ T 29264-2012 《信息技术服务 分类与代码》</w:t>
      </w:r>
    </w:p>
    <w:p w14:paraId="02FBE011">
      <w:pPr>
        <w:keepNext w:val="0"/>
        <w:keepLines w:val="0"/>
        <w:pageBreakBefore w:val="0"/>
        <w:widowControl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635" w:leftChars="0" w:hanging="425" w:firstLineChars="0"/>
        <w:textAlignment w:val="baseline"/>
        <w:rPr>
          <w:rFonts w:hint="eastAsia" w:ascii="宋体" w:hAnsi="宋体" w:eastAsia="宋体" w:cs="宋体"/>
          <w:spacing w:val="-1"/>
          <w:sz w:val="24"/>
          <w:szCs w:val="24"/>
        </w:rPr>
      </w:pPr>
      <w:r>
        <w:rPr>
          <w:rFonts w:hint="eastAsia" w:ascii="宋体" w:hAnsi="宋体" w:eastAsia="宋体" w:cs="宋体"/>
          <w:spacing w:val="-1"/>
          <w:sz w:val="24"/>
          <w:szCs w:val="24"/>
        </w:rPr>
        <w:t>GB/ T 28827.2-2012 《信息技术服务 运行维护 第 2 部分:交付规范》</w:t>
      </w:r>
    </w:p>
    <w:p w14:paraId="49A4598D">
      <w:pPr>
        <w:keepNext w:val="0"/>
        <w:keepLines w:val="0"/>
        <w:pageBreakBefore w:val="0"/>
        <w:widowControl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635" w:leftChars="0" w:hanging="425" w:firstLineChars="0"/>
        <w:textAlignment w:val="baseline"/>
        <w:rPr>
          <w:rFonts w:hint="eastAsia" w:ascii="宋体" w:hAnsi="宋体" w:eastAsia="宋体" w:cs="宋体"/>
          <w:spacing w:val="-1"/>
          <w:sz w:val="24"/>
          <w:szCs w:val="24"/>
        </w:rPr>
      </w:pPr>
      <w:r>
        <w:rPr>
          <w:rFonts w:hint="eastAsia" w:ascii="宋体" w:hAnsi="宋体" w:eastAsia="宋体" w:cs="宋体"/>
          <w:spacing w:val="-1"/>
          <w:sz w:val="24"/>
          <w:szCs w:val="24"/>
        </w:rPr>
        <w:t>GB/  T 28827.3-2012 《信息技术服务 运行维护 第 3 部分:应急响应规范》</w:t>
      </w:r>
    </w:p>
    <w:p w14:paraId="6DEF2694">
      <w:pPr>
        <w:keepNext w:val="0"/>
        <w:keepLines w:val="0"/>
        <w:pageBreakBefore w:val="0"/>
        <w:widowControl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635" w:leftChars="0" w:hanging="425" w:firstLineChars="0"/>
        <w:textAlignment w:val="baseline"/>
        <w:rPr>
          <w:rFonts w:hint="eastAsia" w:ascii="宋体" w:hAnsi="宋体" w:eastAsia="宋体" w:cs="宋体"/>
          <w:spacing w:val="-1"/>
          <w:sz w:val="24"/>
          <w:szCs w:val="24"/>
        </w:rPr>
      </w:pPr>
      <w:r>
        <w:rPr>
          <w:rFonts w:hint="eastAsia" w:ascii="宋体" w:hAnsi="宋体" w:eastAsia="宋体" w:cs="宋体"/>
          <w:spacing w:val="-1"/>
          <w:sz w:val="24"/>
          <w:szCs w:val="24"/>
        </w:rPr>
        <w:t>国家有关法律、法规及行业标准</w:t>
      </w:r>
    </w:p>
    <w:p w14:paraId="1742B04B">
      <w:pPr>
        <w:pStyle w:val="26"/>
        <w:bidi w:val="0"/>
      </w:pPr>
      <w:bookmarkStart w:id="5" w:name="_Toc6674"/>
      <w:r>
        <w:t>参会人员</w:t>
      </w:r>
      <w:bookmarkEnd w:id="5"/>
    </w:p>
    <w:p w14:paraId="29F8E5CE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76" w:hanging="476" w:hangingChars="200"/>
        <w:textAlignment w:val="baseline"/>
        <w:rPr>
          <w:rFonts w:hint="default" w:ascii="宋体" w:hAnsi="宋体" w:eastAsia="宋体" w:cs="宋体"/>
          <w:spacing w:val="-1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pacing w:val="-1"/>
          <w:sz w:val="24"/>
          <w:szCs w:val="24"/>
        </w:rPr>
        <w:t>组长：</w:t>
      </w:r>
      <w:r>
        <w:rPr>
          <w:rFonts w:hint="eastAsia" w:ascii="宋体" w:hAnsi="宋体" w:eastAsia="宋体" w:cs="宋体"/>
          <w:spacing w:val="-1"/>
          <w:sz w:val="24"/>
          <w:szCs w:val="24"/>
          <w:lang w:val="en-US" w:eastAsia="zh-CN"/>
        </w:rPr>
        <w:t>李平</w:t>
      </w:r>
    </w:p>
    <w:p w14:paraId="129B93D3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76" w:hanging="476" w:hangingChars="200"/>
        <w:textAlignment w:val="baseline"/>
        <w:rPr>
          <w:rFonts w:hint="eastAsia" w:ascii="宋体" w:hAnsi="宋体" w:eastAsia="宋体" w:cs="宋体"/>
          <w:spacing w:val="-1"/>
          <w:sz w:val="24"/>
          <w:szCs w:val="24"/>
        </w:rPr>
      </w:pPr>
      <w:r>
        <w:rPr>
          <w:rFonts w:hint="eastAsia" w:ascii="宋体" w:hAnsi="宋体" w:eastAsia="宋体" w:cs="宋体"/>
          <w:spacing w:val="-1"/>
          <w:sz w:val="24"/>
          <w:szCs w:val="24"/>
        </w:rPr>
        <w:t>组员：秦立祥</w:t>
      </w:r>
      <w:r>
        <w:rPr>
          <w:rFonts w:hint="eastAsia" w:ascii="宋体" w:hAnsi="宋体" w:eastAsia="宋体" w:cs="宋体"/>
          <w:spacing w:val="-1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pacing w:val="-1"/>
          <w:sz w:val="24"/>
          <w:szCs w:val="24"/>
          <w:lang w:val="en-US" w:eastAsia="zh-CN"/>
        </w:rPr>
        <w:t>肖龙莽</w:t>
      </w:r>
      <w:r>
        <w:rPr>
          <w:rFonts w:hint="eastAsia" w:ascii="宋体" w:hAnsi="宋体" w:cs="宋体"/>
          <w:spacing w:val="-1"/>
          <w:sz w:val="24"/>
          <w:szCs w:val="24"/>
          <w:lang w:val="en-US" w:eastAsia="zh-CN"/>
        </w:rPr>
        <w:t>、</w:t>
      </w:r>
      <w:r>
        <w:rPr>
          <w:rFonts w:hint="eastAsia" w:ascii="宋体" w:hAnsi="宋体" w:eastAsia="宋体" w:cs="宋体"/>
          <w:spacing w:val="-1"/>
          <w:sz w:val="24"/>
          <w:szCs w:val="24"/>
          <w:lang w:val="en-US" w:eastAsia="zh-CN"/>
        </w:rPr>
        <w:t>庄霞</w:t>
      </w:r>
    </w:p>
    <w:p w14:paraId="68143455">
      <w:pPr>
        <w:pStyle w:val="26"/>
        <w:bidi w:val="0"/>
      </w:pPr>
      <w:bookmarkStart w:id="6" w:name="_Toc17567"/>
      <w:r>
        <w:t>评审主要步骤</w:t>
      </w:r>
      <w:bookmarkEnd w:id="6"/>
    </w:p>
    <w:p w14:paraId="5FA60F76">
      <w:pPr>
        <w:pStyle w:val="39"/>
        <w:numPr>
          <w:ilvl w:val="0"/>
          <w:numId w:val="3"/>
        </w:numPr>
        <w:bidi w:val="0"/>
      </w:pPr>
      <w:r>
        <w:t>质量部汇总公司IT运维服务管理指标、管理能力情况、体系实施情况、客户满意度调查结果、内审报告、不符合项报告及其关闭材料等；</w:t>
      </w:r>
    </w:p>
    <w:p w14:paraId="23D1748F">
      <w:pPr>
        <w:pStyle w:val="39"/>
        <w:numPr>
          <w:ilvl w:val="0"/>
          <w:numId w:val="3"/>
        </w:numPr>
        <w:bidi w:val="0"/>
      </w:pPr>
      <w:r>
        <w:t>公司管理层对管理评审材料进行审核并签署评审意见；</w:t>
      </w:r>
    </w:p>
    <w:p w14:paraId="50F718A3">
      <w:pPr>
        <w:pStyle w:val="39"/>
        <w:numPr>
          <w:ilvl w:val="0"/>
          <w:numId w:val="3"/>
        </w:numPr>
        <w:bidi w:val="0"/>
      </w:pPr>
      <w:r>
        <w:t>质量部负责协助管理者代表纠正各部门发现的问题，并跟踪验证纠正</w:t>
      </w:r>
    </w:p>
    <w:p w14:paraId="2380576D">
      <w:pPr>
        <w:pStyle w:val="39"/>
        <w:numPr>
          <w:ilvl w:val="0"/>
          <w:numId w:val="3"/>
        </w:numPr>
        <w:bidi w:val="0"/>
      </w:pPr>
      <w:r>
        <w:t>预防措施的执行情况；</w:t>
      </w:r>
    </w:p>
    <w:p w14:paraId="5A6C180D">
      <w:pPr>
        <w:pStyle w:val="39"/>
        <w:numPr>
          <w:ilvl w:val="0"/>
          <w:numId w:val="3"/>
        </w:numPr>
        <w:bidi w:val="0"/>
      </w:pPr>
      <w:r>
        <w:t>总经理对管理评审报告进行审批。</w:t>
      </w:r>
    </w:p>
    <w:p w14:paraId="3C2A6665">
      <w:pPr>
        <w:pStyle w:val="26"/>
        <w:bidi w:val="0"/>
      </w:pPr>
      <w:bookmarkStart w:id="7" w:name="_Toc17342"/>
      <w:r>
        <w:t>评审内容</w:t>
      </w:r>
      <w:bookmarkEnd w:id="7"/>
    </w:p>
    <w:p w14:paraId="341DA50C">
      <w:pPr>
        <w:pStyle w:val="39"/>
        <w:numPr>
          <w:ilvl w:val="0"/>
          <w:numId w:val="4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内部审核报告</w:t>
      </w:r>
    </w:p>
    <w:p w14:paraId="4DFC4926">
      <w:pPr>
        <w:pStyle w:val="39"/>
        <w:numPr>
          <w:ilvl w:val="0"/>
          <w:numId w:val="4"/>
        </w:numPr>
        <w:bidi w:val="0"/>
      </w:pPr>
      <w:r>
        <w:t>各部门指标完成情况</w:t>
      </w:r>
    </w:p>
    <w:p w14:paraId="01FDC96B">
      <w:pPr>
        <w:pStyle w:val="39"/>
        <w:numPr>
          <w:ilvl w:val="0"/>
          <w:numId w:val="4"/>
        </w:numPr>
        <w:bidi w:val="0"/>
      </w:pPr>
      <w:r>
        <w:t xml:space="preserve"> 客户满意度调查和客户投诉情况</w:t>
      </w:r>
    </w:p>
    <w:p w14:paraId="1DC1427D">
      <w:pPr>
        <w:pStyle w:val="39"/>
        <w:numPr>
          <w:ilvl w:val="0"/>
          <w:numId w:val="4"/>
        </w:numPr>
        <w:bidi w:val="0"/>
      </w:pPr>
      <w:r>
        <w:t>公司的组织结构、职责分配、资源配备的适宜性</w:t>
      </w:r>
    </w:p>
    <w:p w14:paraId="4D5ADA8B">
      <w:pPr>
        <w:pStyle w:val="39"/>
        <w:numPr>
          <w:ilvl w:val="0"/>
          <w:numId w:val="4"/>
        </w:numPr>
        <w:bidi w:val="0"/>
      </w:pPr>
      <w:r>
        <w:t>体系要素及文件的适宜性</w:t>
      </w:r>
    </w:p>
    <w:p w14:paraId="4F8C0A2D">
      <w:pPr>
        <w:pStyle w:val="39"/>
        <w:numPr>
          <w:ilvl w:val="0"/>
          <w:numId w:val="4"/>
        </w:numPr>
        <w:bidi w:val="0"/>
      </w:pPr>
      <w:r>
        <w:t>客户及员工对运维服务能力体系的合理化建议</w:t>
      </w:r>
    </w:p>
    <w:p w14:paraId="5918B3F9">
      <w:pPr>
        <w:pStyle w:val="39"/>
        <w:numPr>
          <w:ilvl w:val="0"/>
          <w:numId w:val="4"/>
        </w:numPr>
        <w:bidi w:val="0"/>
      </w:pPr>
      <w:r>
        <w:t>其他</w:t>
      </w:r>
    </w:p>
    <w:p w14:paraId="6B1A6CDE">
      <w:pPr>
        <w:pStyle w:val="26"/>
        <w:bidi w:val="0"/>
      </w:pPr>
      <w:bookmarkStart w:id="8" w:name="_Toc18428"/>
      <w:r>
        <w:t>评审结论</w:t>
      </w:r>
      <w:bookmarkEnd w:id="8"/>
    </w:p>
    <w:p w14:paraId="5E8629AC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Chars="0" w:firstLine="480" w:firstLineChars="200"/>
        <w:textAlignment w:val="baseline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根据各部门所提交的项目实施和部门总结资料，评审组成员经过认真的审核和讨论，就下面几项内容达成共识：</w:t>
      </w:r>
    </w:p>
    <w:p w14:paraId="0640A2CF">
      <w:pPr>
        <w:pStyle w:val="28"/>
        <w:bidi w:val="0"/>
      </w:pPr>
      <w:bookmarkStart w:id="9" w:name="_Toc31903"/>
      <w:r>
        <w:t>运维能力体系运行的适宜性、有效性评审</w:t>
      </w:r>
      <w:bookmarkEnd w:id="9"/>
    </w:p>
    <w:p w14:paraId="4DE52FFB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firstLine="480" w:firstLineChars="20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我公司运维能力体系自建设和运行以来，公司的运维服务能力和项目服务质量有了明显的提高。由于在管理和服务过程中明确了相关标准，整合了公司的组织架构，搭建了相关体系，完善了过程的可追朔性，明确了各部门及各岗位的职责，使得公司的职责权限更加合理分明，业务流程更加顺畅。</w:t>
      </w:r>
    </w:p>
    <w:p w14:paraId="7589D843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firstLine="480" w:firstLineChars="20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公司在2025年</w:t>
      </w:r>
      <w:r>
        <w:rPr>
          <w:rFonts w:hint="eastAsia" w:ascii="宋体" w:hAnsi="宋体" w:cs="宋体"/>
          <w:sz w:val="24"/>
          <w:szCs w:val="24"/>
          <w:lang w:val="en-US" w:eastAsia="zh-CN"/>
        </w:rPr>
        <w:t>4月至12月</w:t>
      </w:r>
      <w:r>
        <w:rPr>
          <w:rFonts w:ascii="宋体" w:hAnsi="宋体" w:eastAsia="宋体" w:cs="宋体"/>
          <w:sz w:val="24"/>
          <w:szCs w:val="24"/>
        </w:rPr>
        <w:t>对全体员工加大了运维能力体系方面的培训力度，能力体系得到全体员工的理解和支持。评审认为：我公司运维能力体系提高了公司的管理水平，增强了公司的实力和竞争力。</w:t>
      </w:r>
    </w:p>
    <w:p w14:paraId="0A9FEFF4">
      <w:pPr>
        <w:pStyle w:val="28"/>
        <w:bidi w:val="0"/>
      </w:pPr>
      <w:bookmarkStart w:id="10" w:name="_Toc2066"/>
      <w:r>
        <w:t>质量内部审核评审</w:t>
      </w:r>
      <w:bookmarkEnd w:id="10"/>
    </w:p>
    <w:p w14:paraId="584BFD77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firstLine="480" w:firstLineChars="20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2025年我公司于</w:t>
      </w:r>
      <w:r>
        <w:rPr>
          <w:rFonts w:hint="eastAsia" w:ascii="宋体" w:hAnsi="宋体" w:cs="宋体"/>
          <w:sz w:val="24"/>
          <w:szCs w:val="24"/>
          <w:lang w:val="en-US" w:eastAsia="zh-CN"/>
        </w:rPr>
        <w:t>12</w:t>
      </w:r>
      <w:r>
        <w:rPr>
          <w:rFonts w:ascii="宋体" w:hAnsi="宋体" w:eastAsia="宋体" w:cs="宋体"/>
          <w:sz w:val="24"/>
          <w:szCs w:val="24"/>
        </w:rPr>
        <w:t>月组织了1次内部审核，共开出1份不符合项报告下发到相关部门，相关责任部门认真进行了原因分析，制定了相应的纠正措施。质量部在规定期限内做了实际验证，现已全部纠正完毕，全部达到运维管理体系的要求。</w:t>
      </w:r>
    </w:p>
    <w:p w14:paraId="56921355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firstLine="480" w:firstLineChars="200"/>
        <w:textAlignment w:val="baseline"/>
      </w:pPr>
      <w:r>
        <w:rPr>
          <w:rFonts w:ascii="宋体" w:hAnsi="宋体" w:eastAsia="宋体" w:cs="宋体"/>
          <w:sz w:val="24"/>
          <w:szCs w:val="24"/>
        </w:rPr>
        <w:t>通过本次审核，对我公司的运维能力体系运行情况进行了一次全面的了解及检查，发现问题并及时解决，完善了公司管理体制，提高了公司的管理水平，保证了公司的正常运作及持续发展。</w:t>
      </w:r>
    </w:p>
    <w:p w14:paraId="60E92185">
      <w:pPr>
        <w:pStyle w:val="28"/>
        <w:bidi w:val="0"/>
      </w:pPr>
      <w:bookmarkStart w:id="11" w:name="_Toc24922"/>
      <w:r>
        <w:t>满意度调查评审</w:t>
      </w:r>
      <w:bookmarkEnd w:id="11"/>
    </w:p>
    <w:p w14:paraId="43B83FE3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firstLine="480" w:firstLineChars="20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通过项目</w:t>
      </w:r>
      <w:bookmarkStart w:id="14" w:name="_GoBack"/>
      <w:bookmarkEnd w:id="14"/>
      <w:r>
        <w:rPr>
          <w:rFonts w:ascii="宋体" w:hAnsi="宋体" w:eastAsia="宋体" w:cs="宋体"/>
          <w:sz w:val="24"/>
          <w:szCs w:val="24"/>
        </w:rPr>
        <w:t>满意度调查统计分析，公司客户满意度平均分为 96 分，达到了公司满意度指标要求，客户对我公司服务质量持认可态度。评审认为 ：我公司当前项目运行情况是正常的，达到了规划要求。希望各部门再接再厉，不断的改进我们的工作。</w:t>
      </w:r>
    </w:p>
    <w:p w14:paraId="3E954786">
      <w:pPr>
        <w:pStyle w:val="28"/>
        <w:bidi w:val="0"/>
      </w:pPr>
      <w:bookmarkStart w:id="12" w:name="_Toc15245"/>
      <w:r>
        <w:t>客户投诉情况评审</w:t>
      </w:r>
      <w:bookmarkEnd w:id="12"/>
    </w:p>
    <w:p w14:paraId="47FED567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firstLine="480" w:firstLineChars="20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暂无接受到任何有效投诉事件。</w:t>
      </w:r>
    </w:p>
    <w:p w14:paraId="2807B325">
      <w:pPr>
        <w:pStyle w:val="28"/>
        <w:bidi w:val="0"/>
      </w:pPr>
      <w:bookmarkStart w:id="13" w:name="_Toc12289"/>
      <w:r>
        <w:t>结论</w:t>
      </w:r>
      <w:bookmarkEnd w:id="13"/>
    </w:p>
    <w:p w14:paraId="5263A381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firstLine="480" w:firstLineChars="20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截止目前</w:t>
      </w:r>
      <w:r>
        <w:rPr>
          <w:rFonts w:ascii="宋体" w:hAnsi="宋体" w:eastAsia="宋体" w:cs="宋体"/>
          <w:sz w:val="24"/>
          <w:szCs w:val="24"/>
        </w:rPr>
        <w:t>公司管理评审在公司各部门的积极配合下圆满地结束了，对本次管理评审公司各相关部门做了周密的安排，参加会议的各部门人员也做了充分的准备，对公司的运维管理目标进行了认真的评议，全面的总结了公司运维能力体系的运行情况，肯定了2025年</w:t>
      </w:r>
      <w:r>
        <w:rPr>
          <w:rFonts w:hint="eastAsia" w:ascii="宋体" w:hAnsi="宋体" w:cs="宋体"/>
          <w:sz w:val="24"/>
          <w:szCs w:val="24"/>
          <w:lang w:val="en-US" w:eastAsia="zh-CN"/>
        </w:rPr>
        <w:t>4月至12月</w:t>
      </w:r>
      <w:r>
        <w:rPr>
          <w:rFonts w:ascii="宋体" w:hAnsi="宋体" w:eastAsia="宋体" w:cs="宋体"/>
          <w:sz w:val="24"/>
          <w:szCs w:val="24"/>
        </w:rPr>
        <w:t>质量管理体系运行的适宜性、有效性。通过这次管理评审，总结了经验，将更有力的推动公司持续发展。</w:t>
      </w:r>
    </w:p>
    <w:p w14:paraId="1DAEB482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firstLine="480" w:firstLineChars="200"/>
        <w:textAlignment w:val="baseline"/>
        <w:rPr>
          <w:rFonts w:ascii="宋体" w:hAnsi="宋体" w:eastAsia="宋体" w:cs="宋体"/>
          <w:sz w:val="24"/>
          <w:szCs w:val="24"/>
        </w:rPr>
      </w:pPr>
    </w:p>
    <w:p w14:paraId="4AA81551">
      <w:pPr>
        <w:spacing w:before="64" w:line="220" w:lineRule="auto"/>
        <w:ind w:left="22"/>
        <w:rPr>
          <w:rFonts w:ascii="宋体" w:hAnsi="宋体" w:eastAsia="宋体" w:cs="宋体"/>
          <w:spacing w:val="-1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评审人：</w:t>
      </w:r>
      <w:r>
        <w:rPr>
          <w:rFonts w:hint="eastAsia" w:ascii="宋体" w:hAnsi="宋体" w:eastAsia="宋体" w:cs="宋体"/>
          <w:spacing w:val="-1"/>
          <w:sz w:val="24"/>
          <w:szCs w:val="24"/>
          <w:lang w:val="en-US" w:eastAsia="zh-CN"/>
        </w:rPr>
        <w:t>李平</w:t>
      </w:r>
      <w:r>
        <w:rPr>
          <w:rFonts w:ascii="宋体" w:hAnsi="宋体" w:eastAsia="宋体" w:cs="宋体"/>
          <w:spacing w:val="-1"/>
          <w:sz w:val="24"/>
          <w:szCs w:val="24"/>
        </w:rPr>
        <w:t xml:space="preserve">                                审核人：吴向阳</w:t>
      </w:r>
    </w:p>
    <w:p w14:paraId="2E920FD7">
      <w:pPr>
        <w:spacing w:before="64" w:line="220" w:lineRule="auto"/>
        <w:ind w:left="22"/>
        <w:rPr>
          <w:rFonts w:ascii="宋体" w:hAnsi="宋体" w:eastAsia="宋体" w:cs="宋体"/>
          <w:spacing w:val="-1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时间： 2025年</w:t>
      </w:r>
      <w:r>
        <w:rPr>
          <w:rFonts w:hint="eastAsia" w:ascii="宋体" w:hAnsi="宋体" w:cs="宋体"/>
          <w:spacing w:val="-1"/>
          <w:sz w:val="24"/>
          <w:szCs w:val="24"/>
          <w:lang w:val="en-US" w:eastAsia="zh-CN"/>
        </w:rPr>
        <w:t>12</w:t>
      </w:r>
      <w:r>
        <w:rPr>
          <w:rFonts w:ascii="宋体" w:hAnsi="宋体" w:eastAsia="宋体" w:cs="宋体"/>
          <w:spacing w:val="-1"/>
          <w:sz w:val="24"/>
          <w:szCs w:val="24"/>
        </w:rPr>
        <w:t>月</w:t>
      </w:r>
      <w:r>
        <w:rPr>
          <w:rFonts w:hint="eastAsia" w:ascii="宋体" w:hAnsi="宋体" w:cs="宋体"/>
          <w:spacing w:val="-1"/>
          <w:sz w:val="24"/>
          <w:szCs w:val="24"/>
          <w:lang w:val="en-US" w:eastAsia="zh-CN"/>
        </w:rPr>
        <w:t>20</w:t>
      </w:r>
      <w:r>
        <w:rPr>
          <w:rFonts w:ascii="宋体" w:hAnsi="宋体" w:eastAsia="宋体" w:cs="宋体"/>
          <w:spacing w:val="-1"/>
          <w:sz w:val="24"/>
          <w:szCs w:val="24"/>
        </w:rPr>
        <w:t xml:space="preserve">日             </w:t>
      </w:r>
      <w:r>
        <w:rPr>
          <w:rFonts w:hint="eastAsia" w:ascii="宋体" w:hAnsi="宋体" w:eastAsia="宋体" w:cs="宋体"/>
          <w:spacing w:val="-1"/>
          <w:sz w:val="24"/>
          <w:szCs w:val="24"/>
          <w:lang w:val="en-US" w:eastAsia="zh-CN"/>
        </w:rPr>
        <w:t xml:space="preserve">     </w:t>
      </w:r>
      <w:r>
        <w:rPr>
          <w:rFonts w:hint="eastAsia" w:ascii="宋体" w:hAnsi="宋体" w:cs="宋体"/>
          <w:spacing w:val="-1"/>
          <w:sz w:val="24"/>
          <w:szCs w:val="24"/>
          <w:lang w:val="en-US" w:eastAsia="zh-CN"/>
        </w:rPr>
        <w:t xml:space="preserve">     </w:t>
      </w:r>
      <w:r>
        <w:rPr>
          <w:rFonts w:ascii="宋体" w:hAnsi="宋体" w:eastAsia="宋体" w:cs="宋体"/>
          <w:spacing w:val="-1"/>
          <w:sz w:val="24"/>
          <w:szCs w:val="24"/>
        </w:rPr>
        <w:t>时间： 2025年</w:t>
      </w:r>
      <w:r>
        <w:rPr>
          <w:rFonts w:hint="eastAsia" w:ascii="宋体" w:hAnsi="宋体" w:cs="宋体"/>
          <w:spacing w:val="-1"/>
          <w:sz w:val="24"/>
          <w:szCs w:val="24"/>
          <w:lang w:val="en-US" w:eastAsia="zh-CN"/>
        </w:rPr>
        <w:t>12</w:t>
      </w:r>
      <w:r>
        <w:rPr>
          <w:rFonts w:ascii="宋体" w:hAnsi="宋体" w:eastAsia="宋体" w:cs="宋体"/>
          <w:spacing w:val="-1"/>
          <w:sz w:val="24"/>
          <w:szCs w:val="24"/>
        </w:rPr>
        <w:t>月</w:t>
      </w:r>
      <w:r>
        <w:rPr>
          <w:rFonts w:hint="eastAsia" w:ascii="宋体" w:hAnsi="宋体" w:eastAsia="宋体" w:cs="宋体"/>
          <w:spacing w:val="-1"/>
          <w:sz w:val="24"/>
          <w:szCs w:val="24"/>
          <w:lang w:val="en-US" w:eastAsia="zh-CN"/>
        </w:rPr>
        <w:t>2</w:t>
      </w:r>
      <w:r>
        <w:rPr>
          <w:rFonts w:hint="eastAsia" w:ascii="宋体" w:hAnsi="宋体" w:cs="宋体"/>
          <w:spacing w:val="-1"/>
          <w:sz w:val="24"/>
          <w:szCs w:val="24"/>
          <w:lang w:val="en-US" w:eastAsia="zh-CN"/>
        </w:rPr>
        <w:t>0</w:t>
      </w:r>
      <w:r>
        <w:rPr>
          <w:rFonts w:ascii="宋体" w:hAnsi="宋体" w:eastAsia="宋体" w:cs="宋体"/>
          <w:spacing w:val="-1"/>
          <w:sz w:val="24"/>
          <w:szCs w:val="24"/>
        </w:rPr>
        <w:t>日</w:t>
      </w:r>
    </w:p>
    <w:sectPr>
      <w:footerReference r:id="rId10" w:type="default"/>
      <w:pgSz w:w="11906" w:h="16839"/>
      <w:pgMar w:top="1040" w:right="1785" w:bottom="686" w:left="1785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9D51F7">
    <w:pPr>
      <w:pStyle w:val="12"/>
      <w:spacing w:line="63" w:lineRule="auto"/>
      <w:rPr>
        <w:sz w:val="2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E10E84">
    <w:pPr>
      <w:spacing w:line="166" w:lineRule="auto"/>
      <w:ind w:left="4327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</w:rPr>
      <w:t>1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669F62">
    <w:pPr>
      <w:spacing w:line="167" w:lineRule="auto"/>
      <w:ind w:left="4208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</w:rPr>
      <w:t>2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75F0A9">
    <w:pPr>
      <w:pStyle w:val="12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83062D">
    <w:pPr>
      <w:pStyle w:val="12"/>
      <w:spacing w:line="52" w:lineRule="auto"/>
      <w:rPr>
        <w:sz w:val="2"/>
      </w:rPr>
    </w:pPr>
    <w:r>
      <w:pict>
        <v:shape id="_x0000_s4097" o:spid="_x0000_s4097" style="position:absolute;left:0pt;margin-left:83.6pt;margin-top:54.5pt;height:0.75pt;width:428.15pt;mso-position-horizontal-relative:page;mso-position-vertical-relative:page;z-index:251659264;mso-width-relative:page;mso-height-relative:page;" filled="f" stroked="t" coordsize="8562,15" o:allowincell="f" path="m0,7l8562,7e">
          <v:fill on="f" focussize="0,0"/>
          <v:stroke joinstyle="miter"/>
          <v:imagedata o:title=""/>
          <o:lock v:ext="edit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FE654B">
    <w:pPr>
      <w:pStyle w:val="12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A4A5017F"/>
    <w:multiLevelType w:val="singleLevel"/>
    <w:tmpl w:val="A4A5017F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2">
    <w:nsid w:val="1AD539FE"/>
    <w:multiLevelType w:val="singleLevel"/>
    <w:tmpl w:val="1AD539FE"/>
    <w:lvl w:ilvl="0" w:tentative="0">
      <w:start w:val="1"/>
      <w:numFmt w:val="decimal"/>
      <w:lvlText w:val="(%1)"/>
      <w:lvlJc w:val="left"/>
      <w:pPr>
        <w:ind w:left="635" w:hanging="425"/>
      </w:pPr>
      <w:rPr>
        <w:rFonts w:hint="default"/>
      </w:rPr>
    </w:lvl>
  </w:abstractNum>
  <w:abstractNum w:abstractNumId="3">
    <w:nsid w:val="7993E6FD"/>
    <w:multiLevelType w:val="singleLevel"/>
    <w:tmpl w:val="7993E6FD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NotTrackMoves/>
  <w:documentProtection w:enforcement="0"/>
  <w:defaultTabStop w:val="720"/>
  <w:characterSpacingControl w:val="doNotCompress"/>
  <w:hdrShapeDefaults>
    <o:shapelayout v:ext="edit">
      <o:idmap v:ext="edit" data="3,4"/>
    </o:shapelayout>
  </w:hdrShapeDefaults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5BB24F7"/>
    <w:rsid w:val="127E28E2"/>
    <w:rsid w:val="12CC08D8"/>
    <w:rsid w:val="160F750C"/>
    <w:rsid w:val="16135A37"/>
    <w:rsid w:val="166B7621"/>
    <w:rsid w:val="1BEB7776"/>
    <w:rsid w:val="24BA03A6"/>
    <w:rsid w:val="29F31F62"/>
    <w:rsid w:val="2AB948E6"/>
    <w:rsid w:val="2BBF5FEE"/>
    <w:rsid w:val="3B7339AE"/>
    <w:rsid w:val="3CB071A0"/>
    <w:rsid w:val="40321F58"/>
    <w:rsid w:val="40574EC1"/>
    <w:rsid w:val="40BE63C2"/>
    <w:rsid w:val="46584C1D"/>
    <w:rsid w:val="695B664F"/>
    <w:rsid w:val="6D6A3304"/>
    <w:rsid w:val="6E1959F4"/>
    <w:rsid w:val="6EBE6636"/>
    <w:rsid w:val="7B93763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table" w:customStyle="1" w:styleId="24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5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6">
    <w:name w:val="柴_标题1"/>
    <w:basedOn w:val="2"/>
    <w:next w:val="27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7">
    <w:name w:val="柴_正文"/>
    <w:basedOn w:val="12"/>
    <w:link w:val="41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28">
    <w:name w:val="柴_标题2"/>
    <w:basedOn w:val="3"/>
    <w:next w:val="27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29">
    <w:name w:val="柴_标题3"/>
    <w:basedOn w:val="4"/>
    <w:next w:val="27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0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1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32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6"/>
    <w:qFormat/>
    <w:uiPriority w:val="0"/>
    <w:rPr>
      <w:rFonts w:ascii="Arial" w:hAnsi="Arial" w:eastAsia="宋体"/>
      <w:sz w:val="32"/>
    </w:rPr>
  </w:style>
  <w:style w:type="paragraph" w:customStyle="1" w:styleId="39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0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1">
    <w:name w:val="柴_正文 Char"/>
    <w:link w:val="27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footer" Target="footer2.xml"/><Relationship Id="rId7" Type="http://schemas.openxmlformats.org/officeDocument/2006/relationships/header" Target="head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theme" Target="theme/theme1.xml"/><Relationship Id="rId10" Type="http://schemas.openxmlformats.org/officeDocument/2006/relationships/footer" Target="footer4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409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1440</Words>
  <Characters>1579</Characters>
  <Lines>0</Lines>
  <Paragraphs>0</Paragraphs>
  <TotalTime>0</TotalTime>
  <ScaleCrop>false</ScaleCrop>
  <LinksUpToDate>false</LinksUpToDate>
  <CharactersWithSpaces>1720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2025-08-17T00:51:00Z</dcterms:created>
  <dc:creator>谢永刚</dc:creator>
  <cp:lastModifiedBy>郝宇</cp:lastModifiedBy>
  <dcterms:modified xsi:type="dcterms:W3CDTF">2026-02-27T08:05:27Z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2025-08-21T01:03:30Z</vt:filetime>
  </property>
  <property fmtid="{D5CDD505-2E9C-101B-9397-08002B2CF9AE}" pid="3" name="CRO">
    <vt:lpwstr>wqlLaW5nc29mdCBQREYgdG8gV1BTIDExNQ</vt:lpwstr>
  </property>
  <property fmtid="{D5CDD505-2E9C-101B-9397-08002B2CF9AE}" pid="4" name="ICV">
    <vt:lpwstr>6AE8547ADC404C168D85BE2DE8C41801_12</vt:lpwstr>
  </property>
  <property fmtid="{D5CDD505-2E9C-101B-9397-08002B2CF9AE}" pid="5" name="KSOProductBuildVer">
    <vt:lpwstr>2052-12.1.0.25225</vt:lpwstr>
  </property>
  <property fmtid="{D5CDD505-2E9C-101B-9397-08002B2CF9AE}" pid="6" name="KSOTemplateDocerSaveRecord">
    <vt:lpwstr>eyJoZGlkIjoiZWI4NmUzMGY2ODA3MDc4ZTFlMjZjZTAyMjM0NmVmODgiLCJ1c2VySWQiOiIxMDc1MzgyOSJ9</vt:lpwstr>
  </property>
</Properties>
</file>